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B6C46" w14:textId="2F4FED14" w:rsidR="00534A85" w:rsidRPr="00C31ED6" w:rsidRDefault="00A13474" w:rsidP="00A13474">
      <w:pPr>
        <w:tabs>
          <w:tab w:val="left" w:pos="7230"/>
        </w:tabs>
        <w:rPr>
          <w:rFonts w:cs="Arial"/>
          <w:b/>
          <w:sz w:val="24"/>
          <w:szCs w:val="24"/>
        </w:rPr>
      </w:pPr>
      <w:r w:rsidRPr="00C31ED6">
        <w:rPr>
          <w:b/>
          <w:sz w:val="24"/>
        </w:rPr>
        <w:tab/>
      </w:r>
      <w:r w:rsidRPr="00C31ED6">
        <w:rPr>
          <w:b/>
          <w:i/>
          <w:sz w:val="24"/>
          <w:highlight w:val="green"/>
          <w:u w:val="single"/>
        </w:rPr>
        <w:t>Ébauche</w:t>
      </w:r>
    </w:p>
    <w:p w14:paraId="350C59F3" w14:textId="5BE59094" w:rsidR="008C20A0" w:rsidRPr="00C31ED6" w:rsidRDefault="008C20A0" w:rsidP="00534A85">
      <w:pPr>
        <w:tabs>
          <w:tab w:val="left" w:pos="8647"/>
        </w:tabs>
        <w:rPr>
          <w:rFonts w:cs="Arial"/>
          <w:b/>
          <w:sz w:val="24"/>
          <w:szCs w:val="24"/>
        </w:rPr>
      </w:pPr>
    </w:p>
    <w:p w14:paraId="765F121D" w14:textId="77777777" w:rsidR="008C20A0" w:rsidRPr="00C31ED6" w:rsidRDefault="008C20A0" w:rsidP="00534A85">
      <w:pPr>
        <w:tabs>
          <w:tab w:val="left" w:pos="8647"/>
        </w:tabs>
        <w:rPr>
          <w:rFonts w:cs="Arial"/>
          <w:b/>
          <w:sz w:val="24"/>
          <w:szCs w:val="24"/>
        </w:rPr>
      </w:pPr>
    </w:p>
    <w:p w14:paraId="41ADF0AC" w14:textId="735B996A" w:rsidR="009A509A" w:rsidRPr="00C31ED6" w:rsidRDefault="00FA6B8D" w:rsidP="0056080A">
      <w:pPr>
        <w:tabs>
          <w:tab w:val="left" w:pos="8647"/>
        </w:tabs>
        <w:rPr>
          <w:rFonts w:cs="Arial"/>
          <w:b/>
          <w:sz w:val="24"/>
          <w:szCs w:val="24"/>
        </w:rPr>
      </w:pPr>
      <w:r w:rsidRPr="00C31ED6">
        <w:rPr>
          <w:b/>
          <w:sz w:val="24"/>
        </w:rPr>
        <w:t>Règlement relatif au fonds «</w:t>
      </w:r>
      <w:r w:rsidR="002827C0" w:rsidRPr="00C31ED6">
        <w:rPr>
          <w:b/>
          <w:sz w:val="24"/>
        </w:rPr>
        <w:t>Réserve de fonctionnement</w:t>
      </w:r>
      <w:r w:rsidRPr="00C31ED6">
        <w:rPr>
          <w:b/>
          <w:sz w:val="24"/>
        </w:rPr>
        <w:t>» de l’enseignement obligatoire spécialisé</w:t>
      </w:r>
    </w:p>
    <w:p w14:paraId="62BC410D" w14:textId="12B02DED" w:rsidR="00534A85" w:rsidRPr="00C31ED6" w:rsidRDefault="00534A85" w:rsidP="00534A85">
      <w:pPr>
        <w:tabs>
          <w:tab w:val="left" w:pos="8647"/>
        </w:tabs>
        <w:rPr>
          <w:rFonts w:cs="Arial"/>
          <w:b/>
          <w:sz w:val="23"/>
          <w:szCs w:val="23"/>
        </w:rPr>
      </w:pPr>
    </w:p>
    <w:p w14:paraId="47888AC8" w14:textId="77777777" w:rsidR="009A509A" w:rsidRPr="00C31ED6" w:rsidRDefault="009A509A" w:rsidP="00534A85">
      <w:pPr>
        <w:tabs>
          <w:tab w:val="left" w:pos="8647"/>
        </w:tabs>
        <w:rPr>
          <w:rFonts w:cs="Arial"/>
          <w:b/>
          <w:sz w:val="23"/>
          <w:szCs w:val="23"/>
        </w:rPr>
      </w:pPr>
    </w:p>
    <w:p w14:paraId="6B187DA4" w14:textId="77777777" w:rsidR="00534A85" w:rsidRPr="00C31ED6" w:rsidRDefault="00534A85" w:rsidP="00BE2CAD">
      <w:pPr>
        <w:tabs>
          <w:tab w:val="left" w:pos="8647"/>
        </w:tabs>
        <w:rPr>
          <w:rFonts w:cs="Arial"/>
          <w:b/>
          <w:kern w:val="28"/>
          <w:sz w:val="23"/>
          <w:szCs w:val="23"/>
        </w:rPr>
      </w:pPr>
      <w:bookmarkStart w:id="0" w:name="_Toc288729857"/>
      <w:r w:rsidRPr="00C31ED6">
        <w:rPr>
          <w:b/>
          <w:sz w:val="23"/>
        </w:rPr>
        <w:t>1. O</w:t>
      </w:r>
      <w:bookmarkEnd w:id="0"/>
      <w:r w:rsidRPr="00C31ED6">
        <w:rPr>
          <w:b/>
          <w:sz w:val="23"/>
        </w:rPr>
        <w:t>bjet du règlement</w:t>
      </w:r>
    </w:p>
    <w:p w14:paraId="2598E854" w14:textId="482EE033" w:rsidR="00534A85" w:rsidRPr="00C31ED6" w:rsidRDefault="00534A85" w:rsidP="00534A85">
      <w:pPr>
        <w:tabs>
          <w:tab w:val="left" w:pos="8647"/>
        </w:tabs>
        <w:rPr>
          <w:rFonts w:cs="Arial"/>
          <w:kern w:val="28"/>
          <w:sz w:val="23"/>
          <w:szCs w:val="23"/>
        </w:rPr>
      </w:pPr>
    </w:p>
    <w:p w14:paraId="17727B14" w14:textId="53BFE739" w:rsidR="001B1407" w:rsidRPr="00C31ED6" w:rsidRDefault="00FD29E0" w:rsidP="001B1407">
      <w:pPr>
        <w:pStyle w:val="Listenabsatz"/>
        <w:numPr>
          <w:ilvl w:val="1"/>
          <w:numId w:val="43"/>
        </w:numPr>
        <w:contextualSpacing w:val="0"/>
        <w:jc w:val="both"/>
        <w:rPr>
          <w:rFonts w:cs="Arial"/>
          <w:szCs w:val="22"/>
        </w:rPr>
      </w:pPr>
      <w:r w:rsidRPr="00C31ED6">
        <w:t xml:space="preserve">Du fait de la </w:t>
      </w:r>
      <w:r w:rsidRPr="00C31ED6">
        <w:rPr>
          <w:rFonts w:cs="Arial"/>
          <w:szCs w:val="22"/>
        </w:rPr>
        <w:t>législation cantonale, notamment de l’article 21q de la loi sur l’école obligatoire du 19 mars 1992 (LEO), de l’article 48 et suivants de l’ordonnance sur l’offre spécialisée de l’école obligatoire du 10 novembre 2021 (OOSEO), ainsi que de l’ordonnance de Direction sur l’offre spécialisée de l’école obligatoire du 23 novembre 2021 (ODOSEO), les enseignements obligatoires spécialisés reçoivent un forfait unique par classe dédié aux frais d’exploitation généraux.</w:t>
      </w:r>
    </w:p>
    <w:p w14:paraId="6D4AE94D" w14:textId="77777777" w:rsidR="001B1407" w:rsidRPr="00C31ED6" w:rsidRDefault="001B1407" w:rsidP="001B1407">
      <w:pPr>
        <w:pStyle w:val="Listenabsatz"/>
        <w:ind w:left="525"/>
        <w:contextualSpacing w:val="0"/>
        <w:jc w:val="both"/>
        <w:rPr>
          <w:rFonts w:cs="Arial"/>
          <w:szCs w:val="22"/>
        </w:rPr>
      </w:pPr>
    </w:p>
    <w:p w14:paraId="72BC2C48" w14:textId="5D60CD8C" w:rsidR="0086799A" w:rsidRPr="00C31ED6" w:rsidRDefault="00B1129E" w:rsidP="0086799A">
      <w:pPr>
        <w:pStyle w:val="Listenabsatz"/>
        <w:numPr>
          <w:ilvl w:val="1"/>
          <w:numId w:val="43"/>
        </w:numPr>
        <w:spacing w:after="120"/>
        <w:ind w:left="527" w:hanging="527"/>
        <w:contextualSpacing w:val="0"/>
        <w:jc w:val="both"/>
        <w:rPr>
          <w:rFonts w:cs="Arial"/>
          <w:szCs w:val="22"/>
        </w:rPr>
      </w:pPr>
      <w:r w:rsidRPr="00C31ED6">
        <w:rPr>
          <w:rFonts w:cs="Arial"/>
          <w:szCs w:val="22"/>
        </w:rPr>
        <w:t xml:space="preserve">Les frais d’exploitation généraux de l’enseignement obligatoire spécialisé se composent notamment des frais liés à </w:t>
      </w:r>
      <w:r w:rsidR="002C7927" w:rsidRPr="00C31ED6">
        <w:rPr>
          <w:rFonts w:cs="Arial"/>
          <w:szCs w:val="22"/>
        </w:rPr>
        <w:t>la direction d’école, frais liés à l’administration scolaire</w:t>
      </w:r>
      <w:r w:rsidRPr="00C31ED6">
        <w:rPr>
          <w:rFonts w:cs="Arial"/>
          <w:szCs w:val="22"/>
        </w:rPr>
        <w:t>, au matériel scolaire, à l’</w:t>
      </w:r>
      <w:r w:rsidR="002C7927" w:rsidRPr="00C31ED6">
        <w:rPr>
          <w:rFonts w:cs="Arial"/>
          <w:color w:val="000000"/>
          <w:szCs w:val="22"/>
          <w:lang w:eastAsia="de-CH"/>
        </w:rPr>
        <w:t xml:space="preserve">encadrement des enfants pendant les repas de midi, </w:t>
      </w:r>
      <w:r w:rsidRPr="00C31ED6">
        <w:rPr>
          <w:rFonts w:cs="Arial"/>
          <w:szCs w:val="22"/>
        </w:rPr>
        <w:t>aux</w:t>
      </w:r>
      <w:r w:rsidR="002C7927" w:rsidRPr="00C31ED6">
        <w:rPr>
          <w:rFonts w:cs="Arial"/>
          <w:szCs w:val="22"/>
        </w:rPr>
        <w:t xml:space="preserve"> primes d’assurance de choses et d’assurance responsabilité civile</w:t>
      </w:r>
      <w:r w:rsidRPr="00C31ED6">
        <w:rPr>
          <w:rFonts w:cs="Arial"/>
          <w:szCs w:val="22"/>
        </w:rPr>
        <w:t xml:space="preserve">, au </w:t>
      </w:r>
      <w:r w:rsidR="0086799A" w:rsidRPr="00C31ED6">
        <w:rPr>
          <w:rFonts w:cs="Arial"/>
          <w:szCs w:val="22"/>
        </w:rPr>
        <w:t>chauffage, dépenses énergétiques, de nettoyage, de conciergerie, d’entretien des espaces vert, de réparation et des petits travaux d’entretien, frais informatiques, frais de téléphonie, et de licences logicielles.</w:t>
      </w:r>
    </w:p>
    <w:p w14:paraId="37FF8902" w14:textId="6E395A3B" w:rsidR="00D84CA6" w:rsidRPr="00C31ED6" w:rsidRDefault="00D84CA6" w:rsidP="00D84CA6">
      <w:pPr>
        <w:pStyle w:val="Listenabsatz"/>
        <w:spacing w:after="120"/>
        <w:ind w:left="525"/>
        <w:jc w:val="both"/>
        <w:rPr>
          <w:rFonts w:cs="Arial"/>
          <w:szCs w:val="22"/>
        </w:rPr>
      </w:pPr>
      <w:r w:rsidRPr="00C31ED6">
        <w:rPr>
          <w:rFonts w:cs="Arial"/>
          <w:szCs w:val="22"/>
        </w:rPr>
        <w:t xml:space="preserve">Les ressources du </w:t>
      </w:r>
      <w:r w:rsidR="00D74032" w:rsidRPr="00C31ED6">
        <w:rPr>
          <w:rFonts w:cs="Arial"/>
          <w:szCs w:val="22"/>
        </w:rPr>
        <w:t>forfait d’exploitation</w:t>
      </w:r>
      <w:r w:rsidR="00D74032" w:rsidRPr="00C31ED6">
        <w:t xml:space="preserve"> </w:t>
      </w:r>
      <w:r w:rsidRPr="00C31ED6">
        <w:t xml:space="preserve">peuvent également être utilisées en vue de l’élargissement des offres de prestations (p. ex. </w:t>
      </w:r>
      <w:r w:rsidR="007B148F" w:rsidRPr="00C31ED6">
        <w:t>école à journée continue</w:t>
      </w:r>
      <w:r w:rsidRPr="00C31ED6">
        <w:t xml:space="preserve">, </w:t>
      </w:r>
      <w:r w:rsidR="007B148F" w:rsidRPr="00C31ED6">
        <w:t>mesures de soutien supplémentaires ou autres activités scolaires</w:t>
      </w:r>
      <w:r w:rsidRPr="00C31ED6">
        <w:t>).</w:t>
      </w:r>
    </w:p>
    <w:p w14:paraId="4174D972" w14:textId="77777777" w:rsidR="00D84CA6" w:rsidRPr="00C31ED6" w:rsidRDefault="00D84CA6" w:rsidP="001B1407">
      <w:pPr>
        <w:pStyle w:val="Listenabsatz"/>
        <w:rPr>
          <w:rFonts w:cs="Arial"/>
          <w:szCs w:val="22"/>
        </w:rPr>
      </w:pPr>
    </w:p>
    <w:p w14:paraId="6F8CE651" w14:textId="3BD41917" w:rsidR="00522D3D" w:rsidRPr="00C31ED6" w:rsidRDefault="001B1407" w:rsidP="00C16F61">
      <w:pPr>
        <w:pStyle w:val="Listenabsatz"/>
        <w:numPr>
          <w:ilvl w:val="1"/>
          <w:numId w:val="43"/>
        </w:numPr>
        <w:spacing w:after="120"/>
        <w:jc w:val="both"/>
        <w:rPr>
          <w:rFonts w:cs="Arial"/>
          <w:szCs w:val="22"/>
        </w:rPr>
      </w:pPr>
      <w:r w:rsidRPr="00C31ED6">
        <w:t>Le présent règlement régit la gestion et l’utilisation de la réserve d</w:t>
      </w:r>
      <w:r w:rsidR="007B148F" w:rsidRPr="00C31ED6">
        <w:t>e fonctionnement</w:t>
      </w:r>
      <w:r w:rsidRPr="00C31ED6">
        <w:t xml:space="preserve"> </w:t>
      </w:r>
      <w:r w:rsidR="007B148F" w:rsidRPr="00C31ED6">
        <w:t xml:space="preserve">de l’enseignement obligatoire </w:t>
      </w:r>
      <w:r w:rsidR="00C31ED6" w:rsidRPr="00C31ED6">
        <w:t>spécialisé</w:t>
      </w:r>
      <w:r w:rsidR="007B148F" w:rsidRPr="00C31ED6">
        <w:t xml:space="preserve"> </w:t>
      </w:r>
      <w:r w:rsidRPr="00C31ED6">
        <w:t>de l’</w:t>
      </w:r>
      <w:r w:rsidRPr="00C31ED6">
        <w:rPr>
          <w:highlight w:val="yellow"/>
        </w:rPr>
        <w:t>institution XXX</w:t>
      </w:r>
      <w:r w:rsidRPr="00C31ED6">
        <w:t>, gérée sous forme de fonds.</w:t>
      </w:r>
    </w:p>
    <w:p w14:paraId="52520339" w14:textId="5DC16724" w:rsidR="00534A85" w:rsidRPr="00C31ED6" w:rsidRDefault="00534A85" w:rsidP="00534A85">
      <w:pPr>
        <w:ind w:right="-1"/>
        <w:jc w:val="both"/>
        <w:rPr>
          <w:rFonts w:cs="Arial"/>
          <w:sz w:val="23"/>
          <w:szCs w:val="23"/>
        </w:rPr>
      </w:pPr>
    </w:p>
    <w:p w14:paraId="5F9EC723" w14:textId="77777777" w:rsidR="00C16F61" w:rsidRPr="00C31ED6" w:rsidRDefault="00C16F61" w:rsidP="00534A85">
      <w:pPr>
        <w:ind w:right="-1"/>
        <w:jc w:val="both"/>
        <w:rPr>
          <w:rFonts w:cs="Arial"/>
          <w:sz w:val="23"/>
          <w:szCs w:val="23"/>
        </w:rPr>
      </w:pPr>
    </w:p>
    <w:p w14:paraId="2F5273D4" w14:textId="0163F91A" w:rsidR="00534A85" w:rsidRPr="00C31ED6" w:rsidRDefault="00534A85" w:rsidP="00534A85">
      <w:pPr>
        <w:ind w:right="-1"/>
        <w:jc w:val="both"/>
        <w:rPr>
          <w:rFonts w:cs="Arial"/>
          <w:b/>
          <w:sz w:val="23"/>
          <w:szCs w:val="23"/>
        </w:rPr>
      </w:pPr>
      <w:r w:rsidRPr="00C31ED6">
        <w:rPr>
          <w:b/>
          <w:sz w:val="23"/>
        </w:rPr>
        <w:t>2. Constitution et niveau maximum du fonds</w:t>
      </w:r>
    </w:p>
    <w:p w14:paraId="093268DB" w14:textId="77777777" w:rsidR="00534A85" w:rsidRPr="00C31ED6" w:rsidRDefault="00534A85" w:rsidP="00534A85">
      <w:pPr>
        <w:ind w:right="-1"/>
        <w:jc w:val="both"/>
        <w:rPr>
          <w:rFonts w:cs="Arial"/>
          <w:szCs w:val="22"/>
        </w:rPr>
      </w:pPr>
    </w:p>
    <w:p w14:paraId="6F91BE46" w14:textId="3F1AB4EC" w:rsidR="00B1129E" w:rsidRPr="00C31ED6" w:rsidRDefault="00DB6F49" w:rsidP="0056080A">
      <w:pPr>
        <w:tabs>
          <w:tab w:val="left" w:pos="567"/>
        </w:tabs>
        <w:ind w:left="567" w:hanging="567"/>
        <w:rPr>
          <w:szCs w:val="22"/>
        </w:rPr>
      </w:pPr>
      <w:r w:rsidRPr="00C31ED6">
        <w:t>2.1</w:t>
      </w:r>
      <w:r w:rsidRPr="00C31ED6">
        <w:tab/>
        <w:t>Le fonds «</w:t>
      </w:r>
      <w:r w:rsidR="00C16F61" w:rsidRPr="00C31ED6">
        <w:t>Réserve de fonctionnement</w:t>
      </w:r>
      <w:r w:rsidRPr="00C31ED6">
        <w:t xml:space="preserve">» est alimenté grâce à des ressources issues du </w:t>
      </w:r>
      <w:r w:rsidR="00C16F61" w:rsidRPr="00C31ED6">
        <w:t>forfait d’exploitation</w:t>
      </w:r>
      <w:r w:rsidRPr="00C31ED6">
        <w:t xml:space="preserve"> qui ne sont pas utilisées en vue du financement courant des frais d’exploitation conformément au paragraphe 1.2.</w:t>
      </w:r>
    </w:p>
    <w:p w14:paraId="107F343B" w14:textId="77777777" w:rsidR="00B1129E" w:rsidRPr="00C31ED6" w:rsidRDefault="00B1129E" w:rsidP="0056080A">
      <w:pPr>
        <w:tabs>
          <w:tab w:val="left" w:pos="567"/>
        </w:tabs>
        <w:ind w:left="567" w:hanging="567"/>
        <w:rPr>
          <w:szCs w:val="22"/>
        </w:rPr>
      </w:pPr>
    </w:p>
    <w:p w14:paraId="66DD0701" w14:textId="77777777" w:rsidR="00027063" w:rsidRPr="00C31ED6" w:rsidRDefault="00B1129E" w:rsidP="0056080A">
      <w:pPr>
        <w:tabs>
          <w:tab w:val="left" w:pos="567"/>
        </w:tabs>
        <w:ind w:left="567" w:hanging="567"/>
      </w:pPr>
      <w:r w:rsidRPr="00C31ED6">
        <w:t>2.2</w:t>
      </w:r>
      <w:r w:rsidRPr="00C31ED6">
        <w:tab/>
        <w:t>Le montant des ressources issues du forfait dédié aux frais d’exploitation non utilisées au cours de l’exercice est établi dans le cadre de la clôture des comptes annuels. Ledit montant est transféré vers le fonds prévu dans le cadre de l’objectif. Il fait office de fonds de compensation.</w:t>
      </w:r>
    </w:p>
    <w:p w14:paraId="16F94251" w14:textId="16661FC2" w:rsidR="00BE2CAD" w:rsidRPr="00C31ED6" w:rsidRDefault="00BE2CAD" w:rsidP="0056080A">
      <w:pPr>
        <w:tabs>
          <w:tab w:val="left" w:pos="567"/>
        </w:tabs>
        <w:ind w:left="567" w:hanging="567"/>
        <w:rPr>
          <w:szCs w:val="22"/>
        </w:rPr>
      </w:pPr>
    </w:p>
    <w:p w14:paraId="333FC893" w14:textId="51A1CD11" w:rsidR="005D0F54" w:rsidRPr="00C31ED6" w:rsidRDefault="00B1129E" w:rsidP="00B1129E">
      <w:pPr>
        <w:tabs>
          <w:tab w:val="left" w:pos="567"/>
        </w:tabs>
        <w:ind w:left="567" w:hanging="567"/>
        <w:rPr>
          <w:rFonts w:cs="Arial"/>
          <w:szCs w:val="22"/>
        </w:rPr>
      </w:pPr>
      <w:r w:rsidRPr="00C31ED6">
        <w:t>2.3</w:t>
      </w:r>
      <w:r w:rsidRPr="00C31ED6">
        <w:tab/>
        <w:t>Les revenus issus du placement des fonds sont versés au fonds.</w:t>
      </w:r>
    </w:p>
    <w:p w14:paraId="4744F318" w14:textId="3B2ECB77" w:rsidR="00B1129E" w:rsidRPr="00C31ED6" w:rsidRDefault="00B1129E" w:rsidP="00B1129E">
      <w:pPr>
        <w:tabs>
          <w:tab w:val="left" w:pos="567"/>
        </w:tabs>
        <w:ind w:left="567" w:hanging="567"/>
        <w:rPr>
          <w:rFonts w:cs="Arial"/>
          <w:szCs w:val="22"/>
        </w:rPr>
      </w:pPr>
    </w:p>
    <w:p w14:paraId="07E1F74C" w14:textId="67345583" w:rsidR="00027063" w:rsidRPr="00C31ED6" w:rsidRDefault="00B1129E" w:rsidP="00B1129E">
      <w:pPr>
        <w:tabs>
          <w:tab w:val="left" w:pos="567"/>
        </w:tabs>
        <w:ind w:left="567" w:hanging="567"/>
      </w:pPr>
      <w:r w:rsidRPr="00C31ED6">
        <w:t>2.4</w:t>
      </w:r>
      <w:r w:rsidRPr="00C31ED6">
        <w:tab/>
        <w:t xml:space="preserve">Une réserve dépassant 50 pour cent de la somme du </w:t>
      </w:r>
      <w:r w:rsidR="00C16F61" w:rsidRPr="00C31ED6">
        <w:t>forfait d’exploitation</w:t>
      </w:r>
      <w:r w:rsidRPr="00C31ED6">
        <w:t xml:space="preserve"> annuel de l’</w:t>
      </w:r>
      <w:r w:rsidRPr="00C31ED6">
        <w:rPr>
          <w:highlight w:val="yellow"/>
        </w:rPr>
        <w:t>institution XXX</w:t>
      </w:r>
      <w:r w:rsidRPr="00C31ED6">
        <w:t xml:space="preserve"> est pris en compte par le canton dans le cadre des contributions futures.</w:t>
      </w:r>
    </w:p>
    <w:p w14:paraId="13B4EC98" w14:textId="48628DAD" w:rsidR="00886DA9" w:rsidRPr="00C31ED6" w:rsidRDefault="00886DA9" w:rsidP="0056080A">
      <w:pPr>
        <w:tabs>
          <w:tab w:val="left" w:pos="567"/>
        </w:tabs>
        <w:ind w:right="-1"/>
        <w:jc w:val="both"/>
        <w:rPr>
          <w:rFonts w:cs="Arial"/>
          <w:szCs w:val="22"/>
        </w:rPr>
      </w:pPr>
    </w:p>
    <w:p w14:paraId="0EEFB314" w14:textId="77777777" w:rsidR="00291157" w:rsidRPr="00C31ED6" w:rsidRDefault="00291157" w:rsidP="00534A85">
      <w:pPr>
        <w:ind w:right="-1"/>
        <w:jc w:val="both"/>
        <w:rPr>
          <w:rFonts w:cs="Arial"/>
          <w:sz w:val="23"/>
          <w:szCs w:val="23"/>
        </w:rPr>
      </w:pPr>
    </w:p>
    <w:p w14:paraId="558CEA4E" w14:textId="77777777" w:rsidR="00027063" w:rsidRPr="00C31ED6" w:rsidRDefault="009C7005" w:rsidP="003C3656">
      <w:pPr>
        <w:spacing w:after="120"/>
        <w:ind w:right="-1"/>
        <w:jc w:val="both"/>
        <w:rPr>
          <w:b/>
          <w:sz w:val="23"/>
        </w:rPr>
      </w:pPr>
      <w:r w:rsidRPr="00C31ED6">
        <w:rPr>
          <w:b/>
          <w:sz w:val="23"/>
        </w:rPr>
        <w:t>3. Utilisation des ressources du fonds</w:t>
      </w:r>
    </w:p>
    <w:p w14:paraId="48675B02" w14:textId="02D8E319" w:rsidR="00774535" w:rsidRPr="00C31ED6" w:rsidRDefault="00774535" w:rsidP="00534A85">
      <w:pPr>
        <w:ind w:right="-1"/>
        <w:jc w:val="both"/>
        <w:rPr>
          <w:rFonts w:cs="Arial"/>
          <w:sz w:val="23"/>
          <w:szCs w:val="23"/>
        </w:rPr>
      </w:pPr>
      <w:r w:rsidRPr="00C31ED6">
        <w:rPr>
          <w:sz w:val="23"/>
        </w:rPr>
        <w:t>Les ressources du fonds sont utilisées en vue de la compensation des pertes d’exploitation lors de la création d’une offre de prestations de l’enseignement obligatoire spécialisé.</w:t>
      </w:r>
    </w:p>
    <w:p w14:paraId="1ED45E80" w14:textId="543A20ED" w:rsidR="00027063" w:rsidRPr="00C31ED6" w:rsidRDefault="00027063" w:rsidP="00BE2CAD">
      <w:pPr>
        <w:ind w:right="-1"/>
        <w:jc w:val="both"/>
        <w:rPr>
          <w:rFonts w:cs="Arial"/>
          <w:sz w:val="23"/>
          <w:szCs w:val="23"/>
        </w:rPr>
      </w:pPr>
    </w:p>
    <w:p w14:paraId="550E086D" w14:textId="77777777" w:rsidR="00027063" w:rsidRPr="00C31ED6" w:rsidRDefault="00027063" w:rsidP="00BE2CAD">
      <w:pPr>
        <w:ind w:right="-1"/>
        <w:jc w:val="both"/>
        <w:rPr>
          <w:rFonts w:cs="Arial"/>
          <w:sz w:val="23"/>
          <w:szCs w:val="23"/>
        </w:rPr>
      </w:pPr>
    </w:p>
    <w:p w14:paraId="6557BB0F" w14:textId="77777777" w:rsidR="00027063" w:rsidRPr="00C31ED6" w:rsidRDefault="00BE2CAD" w:rsidP="00BE2CAD">
      <w:pPr>
        <w:spacing w:after="120"/>
        <w:ind w:right="-1"/>
        <w:jc w:val="both"/>
        <w:rPr>
          <w:b/>
          <w:sz w:val="23"/>
        </w:rPr>
      </w:pPr>
      <w:r w:rsidRPr="00C31ED6">
        <w:rPr>
          <w:b/>
          <w:sz w:val="23"/>
        </w:rPr>
        <w:t>4. Contrôle de la constitution et de l’utilisation des fonds</w:t>
      </w:r>
    </w:p>
    <w:p w14:paraId="463E1EB5" w14:textId="1A05A355" w:rsidR="00BE2CAD" w:rsidRPr="00C31ED6" w:rsidRDefault="00BE2CAD" w:rsidP="00BE2CAD">
      <w:pPr>
        <w:spacing w:after="120"/>
        <w:ind w:right="-1"/>
        <w:jc w:val="both"/>
        <w:rPr>
          <w:rFonts w:cs="Arial"/>
          <w:szCs w:val="22"/>
        </w:rPr>
      </w:pPr>
      <w:r w:rsidRPr="00C31ED6">
        <w:lastRenderedPageBreak/>
        <w:t>L’alimentation du fonds et l’utilisation des ressources correspondantes doivent être consignées de manière détaillée dans un document comptable.</w:t>
      </w:r>
    </w:p>
    <w:p w14:paraId="582CE0DE" w14:textId="77777777" w:rsidR="00BE2CAD" w:rsidRPr="00C31ED6" w:rsidRDefault="00BE2CAD" w:rsidP="0056080A">
      <w:pPr>
        <w:ind w:right="-1"/>
        <w:jc w:val="both"/>
        <w:rPr>
          <w:rFonts w:cs="Arial"/>
          <w:szCs w:val="22"/>
        </w:rPr>
      </w:pPr>
      <w:r w:rsidRPr="00C31ED6">
        <w:t xml:space="preserve">Chaque année, la </w:t>
      </w:r>
      <w:r w:rsidRPr="00C31ED6">
        <w:rPr>
          <w:highlight w:val="yellow"/>
        </w:rPr>
        <w:t>direction</w:t>
      </w:r>
      <w:r w:rsidRPr="00C31ED6">
        <w:t xml:space="preserve"> rend compte des réserves des fonds et de l’utilisation conforme des ressources au </w:t>
      </w:r>
      <w:r w:rsidRPr="00C31ED6">
        <w:rPr>
          <w:highlight w:val="yellow"/>
        </w:rPr>
        <w:t>conseil d’administration/conseil de fondation</w:t>
      </w:r>
      <w:r w:rsidRPr="00C31ED6">
        <w:t>. Ce rapport est examiné dans le cadre de la révision des comptes.</w:t>
      </w:r>
    </w:p>
    <w:p w14:paraId="63ECCEBC" w14:textId="77777777" w:rsidR="00BE2CAD" w:rsidRPr="00C31ED6" w:rsidRDefault="00BE2CAD" w:rsidP="0056080A">
      <w:pPr>
        <w:rPr>
          <w:rFonts w:cs="Arial"/>
          <w:szCs w:val="22"/>
          <w:lang w:eastAsia="de-CH"/>
        </w:rPr>
      </w:pPr>
    </w:p>
    <w:p w14:paraId="3577C24D" w14:textId="77777777" w:rsidR="00B503BA" w:rsidRPr="00C31ED6" w:rsidRDefault="00B503BA" w:rsidP="00534A85">
      <w:pPr>
        <w:ind w:right="-1"/>
        <w:jc w:val="both"/>
        <w:rPr>
          <w:rFonts w:cs="Arial"/>
          <w:sz w:val="23"/>
          <w:szCs w:val="23"/>
        </w:rPr>
      </w:pPr>
    </w:p>
    <w:p w14:paraId="4E65E082" w14:textId="68C14FB3" w:rsidR="009C7005" w:rsidRPr="00C31ED6" w:rsidRDefault="003C3656" w:rsidP="0056080A">
      <w:pPr>
        <w:spacing w:after="120"/>
        <w:ind w:right="-1"/>
        <w:jc w:val="both"/>
        <w:rPr>
          <w:rFonts w:cs="Arial"/>
          <w:b/>
          <w:sz w:val="23"/>
          <w:szCs w:val="23"/>
        </w:rPr>
      </w:pPr>
      <w:r w:rsidRPr="00C31ED6">
        <w:rPr>
          <w:b/>
          <w:sz w:val="23"/>
        </w:rPr>
        <w:t>5. Utilisation des ressources en cas de liquidation du fonds</w:t>
      </w:r>
    </w:p>
    <w:p w14:paraId="0C70EB92" w14:textId="77777777" w:rsidR="00027063" w:rsidRPr="00C31ED6" w:rsidRDefault="00B503BA" w:rsidP="002D72F5">
      <w:pPr>
        <w:autoSpaceDE w:val="0"/>
        <w:autoSpaceDN w:val="0"/>
        <w:adjustRightInd w:val="0"/>
      </w:pPr>
      <w:r w:rsidRPr="00C31ED6">
        <w:t>En cas de liquidation du fonds, les ressources restantes sont restituées à l’OECO.</w:t>
      </w:r>
    </w:p>
    <w:p w14:paraId="7CA057F5" w14:textId="71B01DB7" w:rsidR="00B503BA" w:rsidRPr="00C31ED6" w:rsidRDefault="00B503BA" w:rsidP="00534A85">
      <w:pPr>
        <w:ind w:right="-1"/>
        <w:jc w:val="both"/>
        <w:rPr>
          <w:rFonts w:cs="Arial"/>
          <w:szCs w:val="22"/>
        </w:rPr>
      </w:pPr>
    </w:p>
    <w:p w14:paraId="2E5B5ECC" w14:textId="77777777" w:rsidR="00B503BA" w:rsidRPr="00C31ED6" w:rsidRDefault="00B503BA" w:rsidP="00534A85">
      <w:pPr>
        <w:ind w:right="-1"/>
        <w:jc w:val="both"/>
        <w:rPr>
          <w:rFonts w:cs="Arial"/>
          <w:szCs w:val="22"/>
        </w:rPr>
      </w:pPr>
    </w:p>
    <w:p w14:paraId="1156CF0A" w14:textId="77777777" w:rsidR="00027063" w:rsidRPr="00C31ED6" w:rsidRDefault="003C3656" w:rsidP="0056080A">
      <w:pPr>
        <w:spacing w:after="120"/>
        <w:ind w:right="-1"/>
        <w:jc w:val="both"/>
        <w:rPr>
          <w:b/>
          <w:sz w:val="23"/>
        </w:rPr>
      </w:pPr>
      <w:r w:rsidRPr="00C31ED6">
        <w:rPr>
          <w:b/>
          <w:sz w:val="23"/>
        </w:rPr>
        <w:t>6. Compétences</w:t>
      </w:r>
    </w:p>
    <w:p w14:paraId="6C394A97" w14:textId="6309FDB4" w:rsidR="00525D20" w:rsidRPr="00C31ED6" w:rsidRDefault="00525D20" w:rsidP="00525D20">
      <w:pPr>
        <w:ind w:right="-1"/>
        <w:jc w:val="both"/>
        <w:rPr>
          <w:rFonts w:cs="Arial"/>
          <w:szCs w:val="22"/>
        </w:rPr>
      </w:pPr>
      <w:r w:rsidRPr="00C31ED6">
        <w:t xml:space="preserve">La </w:t>
      </w:r>
      <w:r w:rsidRPr="00C31ED6">
        <w:rPr>
          <w:highlight w:val="yellow"/>
        </w:rPr>
        <w:t>direction</w:t>
      </w:r>
      <w:r w:rsidRPr="00C31ED6">
        <w:t xml:space="preserve"> demande au </w:t>
      </w:r>
      <w:r w:rsidRPr="00C31ED6">
        <w:rPr>
          <w:highlight w:val="yellow"/>
        </w:rPr>
        <w:t>conseil d’administration/conseil de fondation</w:t>
      </w:r>
      <w:r w:rsidRPr="00C31ED6">
        <w:t xml:space="preserve"> de prélever des ressources des fonds en vue d’une utilisation conforme à l’objectif, conformément au paragraphe 3. Elle décide des dépenses concrètes dans la limite du prélèvement autorisé.</w:t>
      </w:r>
    </w:p>
    <w:p w14:paraId="4E67AE16" w14:textId="77777777" w:rsidR="007A5637" w:rsidRPr="00C31ED6" w:rsidRDefault="007A5637" w:rsidP="00525D20">
      <w:pPr>
        <w:ind w:right="-1"/>
        <w:jc w:val="both"/>
        <w:rPr>
          <w:rFonts w:cs="Arial"/>
          <w:szCs w:val="22"/>
        </w:rPr>
      </w:pPr>
    </w:p>
    <w:p w14:paraId="6D39B088" w14:textId="77777777" w:rsidR="00BF50F7" w:rsidRPr="00C31ED6" w:rsidRDefault="00BF50F7">
      <w:pPr>
        <w:ind w:right="-1"/>
        <w:jc w:val="both"/>
        <w:rPr>
          <w:rFonts w:cs="Arial"/>
          <w:szCs w:val="22"/>
        </w:rPr>
      </w:pPr>
    </w:p>
    <w:p w14:paraId="5936520F" w14:textId="5F752303" w:rsidR="00F36725" w:rsidRPr="00C31ED6" w:rsidRDefault="003C3656">
      <w:pPr>
        <w:ind w:right="-1"/>
        <w:jc w:val="both"/>
        <w:rPr>
          <w:rFonts w:cs="Arial"/>
          <w:b/>
          <w:sz w:val="23"/>
          <w:szCs w:val="23"/>
        </w:rPr>
      </w:pPr>
      <w:r w:rsidRPr="00C31ED6">
        <w:rPr>
          <w:b/>
          <w:sz w:val="23"/>
        </w:rPr>
        <w:t>7. Dispositions finales</w:t>
      </w:r>
    </w:p>
    <w:p w14:paraId="13F6DEA5" w14:textId="77777777" w:rsidR="00F36725" w:rsidRPr="00C31ED6" w:rsidRDefault="00F36725">
      <w:pPr>
        <w:ind w:right="-1"/>
        <w:jc w:val="both"/>
        <w:rPr>
          <w:rFonts w:cs="Arial"/>
          <w:szCs w:val="22"/>
        </w:rPr>
      </w:pPr>
    </w:p>
    <w:p w14:paraId="31F4B8C1" w14:textId="77777777" w:rsidR="00027063" w:rsidRPr="00C31ED6" w:rsidRDefault="00F36725">
      <w:pPr>
        <w:ind w:right="-1"/>
        <w:jc w:val="both"/>
      </w:pPr>
      <w:r w:rsidRPr="00C31ED6">
        <w:t xml:space="preserve">Le présent règlement a été voté par le </w:t>
      </w:r>
      <w:r w:rsidRPr="00C31ED6">
        <w:rPr>
          <w:highlight w:val="yellow"/>
        </w:rPr>
        <w:t>conseil d’administration/conseil de fondation</w:t>
      </w:r>
      <w:r w:rsidRPr="00C31ED6">
        <w:t xml:space="preserve"> le </w:t>
      </w:r>
      <w:r w:rsidRPr="00C31ED6">
        <w:rPr>
          <w:highlight w:val="yellow"/>
        </w:rPr>
        <w:t>jj.mm.aaaa</w:t>
      </w:r>
      <w:r w:rsidRPr="00C31ED6">
        <w:t>. Il entre en vigueur avec effet rétroactif au 1er janvier 2022.</w:t>
      </w:r>
    </w:p>
    <w:p w14:paraId="19A2FEC2" w14:textId="4A5174A5" w:rsidR="002A094A" w:rsidRPr="00C31ED6" w:rsidRDefault="002A094A">
      <w:pPr>
        <w:ind w:right="-1"/>
        <w:jc w:val="both"/>
        <w:rPr>
          <w:rFonts w:cs="Arial"/>
          <w:szCs w:val="22"/>
        </w:rPr>
      </w:pPr>
    </w:p>
    <w:p w14:paraId="1D140F7A" w14:textId="77777777" w:rsidR="002A094A" w:rsidRPr="00C31ED6" w:rsidRDefault="002A094A">
      <w:pPr>
        <w:ind w:right="-1"/>
        <w:jc w:val="both"/>
        <w:rPr>
          <w:rFonts w:cs="Arial"/>
          <w:szCs w:val="22"/>
        </w:rPr>
      </w:pPr>
    </w:p>
    <w:p w14:paraId="25A286BD" w14:textId="77777777" w:rsidR="00613B74" w:rsidRPr="00C31ED6" w:rsidRDefault="00613B74">
      <w:pPr>
        <w:ind w:right="-1"/>
        <w:jc w:val="both"/>
        <w:rPr>
          <w:rFonts w:cs="Arial"/>
          <w:szCs w:val="22"/>
        </w:rPr>
      </w:pPr>
      <w:r w:rsidRPr="00C31ED6">
        <w:rPr>
          <w:highlight w:val="yellow"/>
        </w:rPr>
        <w:t>Lieu, jj.mm.aaaa</w:t>
      </w:r>
    </w:p>
    <w:p w14:paraId="6717C076" w14:textId="77777777" w:rsidR="00613B74" w:rsidRPr="00C31ED6" w:rsidRDefault="00613B74">
      <w:pPr>
        <w:ind w:right="-1"/>
        <w:jc w:val="both"/>
        <w:rPr>
          <w:rFonts w:cs="Arial"/>
          <w:szCs w:val="22"/>
        </w:rPr>
      </w:pPr>
    </w:p>
    <w:p w14:paraId="5A72E17B" w14:textId="77777777" w:rsidR="00027063" w:rsidRPr="00C31ED6" w:rsidRDefault="00F36725">
      <w:pPr>
        <w:ind w:right="-1"/>
        <w:jc w:val="both"/>
      </w:pPr>
      <w:r w:rsidRPr="00C31ED6">
        <w:rPr>
          <w:highlight w:val="yellow"/>
        </w:rPr>
        <w:t>Institution XXX</w:t>
      </w:r>
    </w:p>
    <w:p w14:paraId="38CADE68" w14:textId="1460A3A6" w:rsidR="00F36725" w:rsidRPr="00C31ED6" w:rsidRDefault="00F36725">
      <w:pPr>
        <w:ind w:right="-1"/>
        <w:jc w:val="both"/>
        <w:rPr>
          <w:rFonts w:cs="Arial"/>
          <w:szCs w:val="22"/>
        </w:rPr>
      </w:pPr>
    </w:p>
    <w:p w14:paraId="59C31193" w14:textId="77777777" w:rsidR="00F36725" w:rsidRPr="00C31ED6" w:rsidRDefault="00F36725">
      <w:pPr>
        <w:ind w:right="-1"/>
        <w:jc w:val="both"/>
        <w:rPr>
          <w:rFonts w:cs="Arial"/>
          <w:szCs w:val="22"/>
        </w:rPr>
      </w:pPr>
    </w:p>
    <w:p w14:paraId="50BD939E" w14:textId="3B508FCA" w:rsidR="00136D8C" w:rsidRPr="00C31ED6" w:rsidRDefault="00F36725" w:rsidP="002A094A">
      <w:pPr>
        <w:ind w:right="-1"/>
        <w:jc w:val="both"/>
      </w:pPr>
      <w:r w:rsidRPr="00C31ED6">
        <w:t>Le/la président/e:</w:t>
      </w:r>
      <w:r w:rsidRPr="00C31ED6">
        <w:tab/>
      </w:r>
      <w:r w:rsidRPr="00C31ED6">
        <w:tab/>
      </w:r>
      <w:r w:rsidRPr="00C31ED6">
        <w:tab/>
      </w:r>
      <w:r w:rsidRPr="00C31ED6">
        <w:tab/>
        <w:t>Le/la vice-président/e:</w:t>
      </w:r>
    </w:p>
    <w:p w14:paraId="1CA90EC7" w14:textId="1CA8AC55" w:rsidR="005A6D0D" w:rsidRPr="00C31ED6" w:rsidRDefault="005A6D0D" w:rsidP="002A094A">
      <w:pPr>
        <w:ind w:right="-1"/>
        <w:jc w:val="both"/>
      </w:pPr>
    </w:p>
    <w:p w14:paraId="0DE7E9A9" w14:textId="14FBB564" w:rsidR="005A6D0D" w:rsidRPr="00C31ED6" w:rsidRDefault="005A6D0D" w:rsidP="002A094A">
      <w:pPr>
        <w:ind w:right="-1"/>
        <w:jc w:val="both"/>
      </w:pPr>
    </w:p>
    <w:p w14:paraId="176A6B43" w14:textId="68A1AA13" w:rsidR="005A6D0D" w:rsidRPr="00C31ED6" w:rsidRDefault="005A6D0D" w:rsidP="002A094A">
      <w:pPr>
        <w:ind w:right="-1"/>
        <w:jc w:val="both"/>
      </w:pPr>
    </w:p>
    <w:p w14:paraId="1D0698B6" w14:textId="211D309F" w:rsidR="005A6D0D" w:rsidRPr="00C31ED6" w:rsidRDefault="005A6D0D" w:rsidP="002A094A">
      <w:pPr>
        <w:ind w:right="-1"/>
        <w:jc w:val="both"/>
      </w:pPr>
    </w:p>
    <w:p w14:paraId="77DF0792" w14:textId="423254A4" w:rsidR="005A6D0D" w:rsidRPr="00C31ED6" w:rsidRDefault="005A6D0D" w:rsidP="002A094A">
      <w:pPr>
        <w:ind w:right="-1"/>
        <w:jc w:val="both"/>
      </w:pPr>
    </w:p>
    <w:p w14:paraId="1FE5E0EF" w14:textId="50F303FE" w:rsidR="005A6D0D" w:rsidRPr="00C31ED6" w:rsidRDefault="005A6D0D" w:rsidP="002A094A">
      <w:pPr>
        <w:ind w:right="-1"/>
        <w:jc w:val="both"/>
      </w:pPr>
    </w:p>
    <w:p w14:paraId="15ED18F1" w14:textId="43E29E15" w:rsidR="005A6D0D" w:rsidRPr="00C31ED6" w:rsidRDefault="005A6D0D" w:rsidP="002A094A">
      <w:pPr>
        <w:ind w:right="-1"/>
        <w:jc w:val="both"/>
      </w:pPr>
    </w:p>
    <w:p w14:paraId="67D75EDF" w14:textId="4C5F89A5" w:rsidR="005A6D0D" w:rsidRPr="00C31ED6" w:rsidRDefault="005A6D0D" w:rsidP="002A094A">
      <w:pPr>
        <w:ind w:right="-1"/>
        <w:jc w:val="both"/>
      </w:pPr>
    </w:p>
    <w:p w14:paraId="083069B8" w14:textId="4454651A" w:rsidR="005A6D0D" w:rsidRPr="00C31ED6" w:rsidRDefault="005A6D0D" w:rsidP="002A094A">
      <w:pPr>
        <w:ind w:right="-1"/>
        <w:jc w:val="both"/>
      </w:pPr>
    </w:p>
    <w:p w14:paraId="74B76531" w14:textId="3AB20555" w:rsidR="005A6D0D" w:rsidRPr="00C31ED6" w:rsidRDefault="005A6D0D" w:rsidP="002A094A">
      <w:pPr>
        <w:ind w:right="-1"/>
        <w:jc w:val="both"/>
      </w:pPr>
    </w:p>
    <w:tbl>
      <w:tblPr>
        <w:tblStyle w:val="Tabellen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3"/>
        <w:gridCol w:w="986"/>
        <w:gridCol w:w="3594"/>
        <w:gridCol w:w="1842"/>
        <w:gridCol w:w="1842"/>
      </w:tblGrid>
      <w:tr w:rsidR="005A6D0D" w:rsidRPr="00C31ED6" w14:paraId="6047F0C4" w14:textId="77777777" w:rsidTr="00075710">
        <w:tc>
          <w:tcPr>
            <w:tcW w:w="988" w:type="dxa"/>
          </w:tcPr>
          <w:p w14:paraId="7D8DD6C1" w14:textId="77777777" w:rsidR="005A6D0D" w:rsidRPr="00C31ED6" w:rsidRDefault="005A6D0D" w:rsidP="00075710">
            <w:pPr>
              <w:rPr>
                <w:rFonts w:cs="Arial"/>
                <w:color w:val="808080" w:themeColor="background1" w:themeShade="80"/>
                <w:sz w:val="12"/>
                <w:szCs w:val="12"/>
              </w:rPr>
            </w:pPr>
            <w:r w:rsidRPr="00C31ED6">
              <w:rPr>
                <w:rFonts w:cs="Arial"/>
                <w:color w:val="808080" w:themeColor="background1" w:themeShade="80"/>
                <w:sz w:val="12"/>
                <w:szCs w:val="12"/>
              </w:rPr>
              <w:t>No. Doc. :</w:t>
            </w:r>
          </w:p>
        </w:tc>
        <w:tc>
          <w:tcPr>
            <w:tcW w:w="992" w:type="dxa"/>
          </w:tcPr>
          <w:p w14:paraId="4574AA77" w14:textId="7BC0320E" w:rsidR="005A6D0D" w:rsidRPr="00C31ED6" w:rsidRDefault="005A6D0D" w:rsidP="00075710">
            <w:pPr>
              <w:rPr>
                <w:rFonts w:cs="Arial"/>
                <w:color w:val="808080" w:themeColor="background1" w:themeShade="80"/>
                <w:sz w:val="12"/>
                <w:szCs w:val="12"/>
              </w:rPr>
            </w:pPr>
            <w:r w:rsidRPr="00C31ED6">
              <w:rPr>
                <w:rFonts w:cs="Arial"/>
                <w:color w:val="808080" w:themeColor="background1" w:themeShade="80"/>
                <w:sz w:val="12"/>
                <w:szCs w:val="12"/>
              </w:rPr>
              <w:t>507.01.fr</w:t>
            </w:r>
          </w:p>
        </w:tc>
        <w:tc>
          <w:tcPr>
            <w:tcW w:w="3711" w:type="dxa"/>
            <w:tcBorders>
              <w:top w:val="nil"/>
              <w:bottom w:val="nil"/>
              <w:right w:val="nil"/>
            </w:tcBorders>
          </w:tcPr>
          <w:p w14:paraId="27BC76EA" w14:textId="77777777" w:rsidR="005A6D0D" w:rsidRPr="00C31ED6" w:rsidRDefault="005A6D0D" w:rsidP="00075710">
            <w:pPr>
              <w:rPr>
                <w:rFonts w:cs="Arial"/>
                <w:color w:val="808080" w:themeColor="background1" w:themeShade="80"/>
                <w:sz w:val="12"/>
                <w:szCs w:val="12"/>
              </w:rPr>
            </w:pPr>
          </w:p>
        </w:tc>
        <w:tc>
          <w:tcPr>
            <w:tcW w:w="1898" w:type="dxa"/>
            <w:tcBorders>
              <w:top w:val="nil"/>
              <w:left w:val="nil"/>
              <w:bottom w:val="nil"/>
              <w:right w:val="nil"/>
            </w:tcBorders>
          </w:tcPr>
          <w:p w14:paraId="042AC721" w14:textId="77777777" w:rsidR="005A6D0D" w:rsidRPr="00C31ED6" w:rsidRDefault="005A6D0D" w:rsidP="00075710">
            <w:pPr>
              <w:rPr>
                <w:rFonts w:cs="Arial"/>
                <w:color w:val="808080" w:themeColor="background1" w:themeShade="80"/>
                <w:sz w:val="12"/>
                <w:szCs w:val="12"/>
              </w:rPr>
            </w:pPr>
          </w:p>
        </w:tc>
        <w:tc>
          <w:tcPr>
            <w:tcW w:w="1898" w:type="dxa"/>
            <w:tcBorders>
              <w:top w:val="nil"/>
              <w:left w:val="nil"/>
              <w:bottom w:val="nil"/>
              <w:right w:val="nil"/>
            </w:tcBorders>
          </w:tcPr>
          <w:p w14:paraId="7825E17A" w14:textId="77777777" w:rsidR="005A6D0D" w:rsidRPr="00C31ED6" w:rsidRDefault="005A6D0D" w:rsidP="00075710">
            <w:pPr>
              <w:rPr>
                <w:rFonts w:cs="Arial"/>
                <w:color w:val="808080" w:themeColor="background1" w:themeShade="80"/>
                <w:sz w:val="12"/>
                <w:szCs w:val="12"/>
              </w:rPr>
            </w:pPr>
          </w:p>
        </w:tc>
      </w:tr>
      <w:tr w:rsidR="005A6D0D" w:rsidRPr="00C31ED6" w14:paraId="214F0D5D" w14:textId="77777777" w:rsidTr="000757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EC7B53" w14:textId="77777777" w:rsidR="005A6D0D" w:rsidRPr="00C31ED6" w:rsidRDefault="005A6D0D" w:rsidP="00075710">
            <w:pPr>
              <w:rPr>
                <w:rFonts w:cs="Arial"/>
                <w:color w:val="808080" w:themeColor="background1" w:themeShade="80"/>
                <w:sz w:val="12"/>
                <w:szCs w:val="12"/>
              </w:rPr>
            </w:pPr>
            <w:r w:rsidRPr="00C31ED6">
              <w:rPr>
                <w:rFonts w:cs="Arial"/>
                <w:color w:val="808080" w:themeColor="background1" w:themeShade="80"/>
                <w:sz w:val="12"/>
                <w:szCs w:val="12"/>
              </w:rPr>
              <w:t>Date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43FD1E" w14:textId="3B22B08F" w:rsidR="005A6D0D" w:rsidRPr="00C31ED6" w:rsidRDefault="005A6D0D" w:rsidP="00075710">
            <w:pPr>
              <w:rPr>
                <w:rFonts w:cs="Arial"/>
                <w:color w:val="808080" w:themeColor="background1" w:themeShade="80"/>
                <w:sz w:val="12"/>
                <w:szCs w:val="12"/>
              </w:rPr>
            </w:pPr>
            <w:r w:rsidRPr="00C31ED6">
              <w:rPr>
                <w:rFonts w:cs="Arial"/>
                <w:color w:val="808080" w:themeColor="background1" w:themeShade="80"/>
                <w:sz w:val="12"/>
                <w:szCs w:val="12"/>
              </w:rPr>
              <w:t>09.03.2022</w:t>
            </w:r>
          </w:p>
        </w:tc>
        <w:tc>
          <w:tcPr>
            <w:tcW w:w="3711" w:type="dxa"/>
            <w:tcBorders>
              <w:top w:val="nil"/>
              <w:left w:val="single" w:sz="4" w:space="0" w:color="808080" w:themeColor="background1" w:themeShade="80"/>
              <w:bottom w:val="nil"/>
              <w:right w:val="nil"/>
            </w:tcBorders>
          </w:tcPr>
          <w:p w14:paraId="1C5212D6" w14:textId="77777777" w:rsidR="005A6D0D" w:rsidRPr="00C31ED6" w:rsidRDefault="005A6D0D" w:rsidP="00075710">
            <w:pPr>
              <w:rPr>
                <w:rFonts w:cs="Arial"/>
                <w:color w:val="808080" w:themeColor="background1" w:themeShade="80"/>
                <w:sz w:val="12"/>
                <w:szCs w:val="12"/>
              </w:rPr>
            </w:pPr>
          </w:p>
        </w:tc>
        <w:tc>
          <w:tcPr>
            <w:tcW w:w="1898" w:type="dxa"/>
            <w:tcBorders>
              <w:top w:val="nil"/>
              <w:left w:val="nil"/>
              <w:bottom w:val="nil"/>
              <w:right w:val="nil"/>
            </w:tcBorders>
          </w:tcPr>
          <w:p w14:paraId="13A9524B" w14:textId="77777777" w:rsidR="005A6D0D" w:rsidRPr="00C31ED6" w:rsidRDefault="005A6D0D" w:rsidP="00075710">
            <w:pPr>
              <w:rPr>
                <w:rFonts w:cs="Arial"/>
                <w:color w:val="808080" w:themeColor="background1" w:themeShade="80"/>
                <w:sz w:val="12"/>
                <w:szCs w:val="12"/>
              </w:rPr>
            </w:pPr>
          </w:p>
        </w:tc>
        <w:tc>
          <w:tcPr>
            <w:tcW w:w="1898" w:type="dxa"/>
            <w:tcBorders>
              <w:top w:val="nil"/>
              <w:left w:val="nil"/>
              <w:bottom w:val="nil"/>
              <w:right w:val="nil"/>
            </w:tcBorders>
          </w:tcPr>
          <w:p w14:paraId="61C6C3B6" w14:textId="77777777" w:rsidR="005A6D0D" w:rsidRPr="00C31ED6" w:rsidRDefault="005A6D0D" w:rsidP="00075710">
            <w:pPr>
              <w:rPr>
                <w:rFonts w:cs="Arial"/>
                <w:color w:val="808080" w:themeColor="background1" w:themeShade="80"/>
                <w:sz w:val="12"/>
                <w:szCs w:val="12"/>
              </w:rPr>
            </w:pPr>
          </w:p>
        </w:tc>
      </w:tr>
    </w:tbl>
    <w:p w14:paraId="5A836385" w14:textId="77777777" w:rsidR="005A6D0D" w:rsidRPr="00C31ED6" w:rsidRDefault="005A6D0D" w:rsidP="002A094A">
      <w:pPr>
        <w:ind w:right="-1"/>
        <w:jc w:val="both"/>
        <w:rPr>
          <w:rFonts w:cs="Arial"/>
          <w:szCs w:val="22"/>
        </w:rPr>
      </w:pPr>
    </w:p>
    <w:sectPr w:rsidR="005A6D0D" w:rsidRPr="00C31ED6" w:rsidSect="0056080A">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418" w:right="1247" w:bottom="964" w:left="1418" w:header="720"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B99F9" w14:textId="77777777" w:rsidR="00774535" w:rsidRDefault="00774535">
      <w:r>
        <w:separator/>
      </w:r>
    </w:p>
  </w:endnote>
  <w:endnote w:type="continuationSeparator" w:id="0">
    <w:p w14:paraId="49412A71" w14:textId="77777777" w:rsidR="00774535" w:rsidRDefault="00774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6E945" w14:textId="77777777" w:rsidR="003C3656" w:rsidRDefault="003C365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7312E" w14:textId="6BDFDFF6" w:rsidR="00774535" w:rsidRPr="005A6D0D" w:rsidRDefault="00C31ED6" w:rsidP="005A6D0D">
    <w:pPr>
      <w:pStyle w:val="Fuzeile"/>
      <w:jc w:val="center"/>
      <w:rPr>
        <w:sz w:val="16"/>
        <w:szCs w:val="16"/>
      </w:rPr>
    </w:pPr>
    <w:sdt>
      <w:sdtPr>
        <w:rPr>
          <w:sz w:val="16"/>
          <w:szCs w:val="16"/>
        </w:rPr>
        <w:id w:val="-1252888000"/>
        <w:docPartObj>
          <w:docPartGallery w:val="Page Numbers (Top of Page)"/>
          <w:docPartUnique/>
        </w:docPartObj>
      </w:sdtPr>
      <w:sdtEndPr/>
      <w:sdtContent>
        <w:r w:rsidR="005A6D0D" w:rsidRPr="0013313E">
          <w:rPr>
            <w:sz w:val="16"/>
            <w:szCs w:val="16"/>
          </w:rPr>
          <w:fldChar w:fldCharType="begin"/>
        </w:r>
        <w:r w:rsidR="005A6D0D" w:rsidRPr="0013313E">
          <w:rPr>
            <w:sz w:val="16"/>
            <w:szCs w:val="16"/>
          </w:rPr>
          <w:instrText xml:space="preserve"> PAGE </w:instrText>
        </w:r>
        <w:r w:rsidR="005A6D0D" w:rsidRPr="0013313E">
          <w:rPr>
            <w:sz w:val="16"/>
            <w:szCs w:val="16"/>
          </w:rPr>
          <w:fldChar w:fldCharType="separate"/>
        </w:r>
        <w:r w:rsidR="005A6D0D">
          <w:rPr>
            <w:sz w:val="16"/>
            <w:szCs w:val="16"/>
          </w:rPr>
          <w:t>1</w:t>
        </w:r>
        <w:r w:rsidR="005A6D0D" w:rsidRPr="0013313E">
          <w:rPr>
            <w:sz w:val="16"/>
            <w:szCs w:val="16"/>
          </w:rPr>
          <w:fldChar w:fldCharType="end"/>
        </w:r>
        <w:r w:rsidR="005A6D0D">
          <w:rPr>
            <w:sz w:val="16"/>
            <w:szCs w:val="16"/>
          </w:rPr>
          <w:t xml:space="preserve"> / </w:t>
        </w:r>
        <w:r w:rsidR="005A6D0D" w:rsidRPr="0013313E">
          <w:rPr>
            <w:sz w:val="16"/>
            <w:szCs w:val="16"/>
          </w:rPr>
          <w:fldChar w:fldCharType="begin"/>
        </w:r>
        <w:r w:rsidR="005A6D0D" w:rsidRPr="0013313E">
          <w:rPr>
            <w:sz w:val="16"/>
            <w:szCs w:val="16"/>
          </w:rPr>
          <w:instrText xml:space="preserve"> NUMPAGES  </w:instrText>
        </w:r>
        <w:r w:rsidR="005A6D0D" w:rsidRPr="0013313E">
          <w:rPr>
            <w:sz w:val="16"/>
            <w:szCs w:val="16"/>
          </w:rPr>
          <w:fldChar w:fldCharType="separate"/>
        </w:r>
        <w:r w:rsidR="005A6D0D">
          <w:rPr>
            <w:sz w:val="16"/>
            <w:szCs w:val="16"/>
          </w:rPr>
          <w:t>2</w:t>
        </w:r>
        <w:r w:rsidR="005A6D0D" w:rsidRPr="0013313E">
          <w:rPr>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DE226" w14:textId="3C9853C3" w:rsidR="003C3656" w:rsidRPr="005A6D0D" w:rsidRDefault="00C31ED6" w:rsidP="005A6D0D">
    <w:pPr>
      <w:pStyle w:val="Fuzeile"/>
      <w:jc w:val="center"/>
      <w:rPr>
        <w:sz w:val="16"/>
        <w:szCs w:val="16"/>
      </w:rPr>
    </w:pPr>
    <w:sdt>
      <w:sdtPr>
        <w:rPr>
          <w:sz w:val="16"/>
          <w:szCs w:val="16"/>
        </w:rPr>
        <w:id w:val="-1814859171"/>
        <w:docPartObj>
          <w:docPartGallery w:val="Page Numbers (Top of Page)"/>
          <w:docPartUnique/>
        </w:docPartObj>
      </w:sdtPr>
      <w:sdtEndPr/>
      <w:sdtContent>
        <w:r w:rsidR="005A6D0D" w:rsidRPr="0013313E">
          <w:rPr>
            <w:sz w:val="16"/>
            <w:szCs w:val="16"/>
          </w:rPr>
          <w:fldChar w:fldCharType="begin"/>
        </w:r>
        <w:r w:rsidR="005A6D0D" w:rsidRPr="0013313E">
          <w:rPr>
            <w:sz w:val="16"/>
            <w:szCs w:val="16"/>
          </w:rPr>
          <w:instrText xml:space="preserve"> PAGE </w:instrText>
        </w:r>
        <w:r w:rsidR="005A6D0D" w:rsidRPr="0013313E">
          <w:rPr>
            <w:sz w:val="16"/>
            <w:szCs w:val="16"/>
          </w:rPr>
          <w:fldChar w:fldCharType="separate"/>
        </w:r>
        <w:r w:rsidR="005A6D0D">
          <w:rPr>
            <w:sz w:val="16"/>
            <w:szCs w:val="16"/>
          </w:rPr>
          <w:t>3</w:t>
        </w:r>
        <w:r w:rsidR="005A6D0D" w:rsidRPr="0013313E">
          <w:rPr>
            <w:sz w:val="16"/>
            <w:szCs w:val="16"/>
          </w:rPr>
          <w:fldChar w:fldCharType="end"/>
        </w:r>
        <w:r w:rsidR="005A6D0D">
          <w:rPr>
            <w:sz w:val="16"/>
            <w:szCs w:val="16"/>
          </w:rPr>
          <w:t xml:space="preserve"> / </w:t>
        </w:r>
        <w:r w:rsidR="005A6D0D" w:rsidRPr="0013313E">
          <w:rPr>
            <w:sz w:val="16"/>
            <w:szCs w:val="16"/>
          </w:rPr>
          <w:fldChar w:fldCharType="begin"/>
        </w:r>
        <w:r w:rsidR="005A6D0D" w:rsidRPr="0013313E">
          <w:rPr>
            <w:sz w:val="16"/>
            <w:szCs w:val="16"/>
          </w:rPr>
          <w:instrText xml:space="preserve"> NUMPAGES  </w:instrText>
        </w:r>
        <w:r w:rsidR="005A6D0D" w:rsidRPr="0013313E">
          <w:rPr>
            <w:sz w:val="16"/>
            <w:szCs w:val="16"/>
          </w:rPr>
          <w:fldChar w:fldCharType="separate"/>
        </w:r>
        <w:r w:rsidR="005A6D0D">
          <w:rPr>
            <w:sz w:val="16"/>
            <w:szCs w:val="16"/>
          </w:rPr>
          <w:t>4</w:t>
        </w:r>
        <w:r w:rsidR="005A6D0D" w:rsidRPr="0013313E">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030F0" w14:textId="77777777" w:rsidR="00774535" w:rsidRDefault="00774535">
      <w:r>
        <w:separator/>
      </w:r>
    </w:p>
  </w:footnote>
  <w:footnote w:type="continuationSeparator" w:id="0">
    <w:p w14:paraId="75A121F4" w14:textId="77777777" w:rsidR="00774535" w:rsidRDefault="00774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82863" w14:textId="783CB60A" w:rsidR="00774535" w:rsidRDefault="0077453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76D82" w14:textId="4C2084A9" w:rsidR="00774535" w:rsidRDefault="0077453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04E8C" w14:textId="3769FDDC" w:rsidR="00774535" w:rsidRDefault="00774535">
    <w:pPr>
      <w:pStyle w:val="Kopfzeile"/>
    </w:pPr>
    <w:r>
      <w:rPr>
        <w:b/>
        <w:sz w:val="24"/>
        <w:highlight w:val="yellow"/>
      </w:rPr>
      <w:t>LOGO de l’institution 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6A055B"/>
    <w:multiLevelType w:val="hybridMultilevel"/>
    <w:tmpl w:val="42F64324"/>
    <w:lvl w:ilvl="0" w:tplc="345C3E54">
      <w:start w:val="1"/>
      <w:numFmt w:val="bullet"/>
      <w:lvlText w:val=""/>
      <w:lvlJc w:val="left"/>
      <w:pPr>
        <w:tabs>
          <w:tab w:val="num" w:pos="36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162DD1"/>
    <w:multiLevelType w:val="hybridMultilevel"/>
    <w:tmpl w:val="D974D5EE"/>
    <w:lvl w:ilvl="0" w:tplc="E3747AC6">
      <w:start w:val="1"/>
      <w:numFmt w:val="bullet"/>
      <w:lvlText w:val=""/>
      <w:lvlJc w:val="left"/>
      <w:pPr>
        <w:tabs>
          <w:tab w:val="num" w:pos="36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F90973"/>
    <w:multiLevelType w:val="singleLevel"/>
    <w:tmpl w:val="8F16ACEE"/>
    <w:lvl w:ilvl="0">
      <w:start w:val="1"/>
      <w:numFmt w:val="bullet"/>
      <w:lvlText w:val=""/>
      <w:lvlJc w:val="left"/>
      <w:pPr>
        <w:tabs>
          <w:tab w:val="num" w:pos="397"/>
        </w:tabs>
        <w:ind w:left="397" w:hanging="397"/>
      </w:pPr>
      <w:rPr>
        <w:rFonts w:ascii="Symbol" w:hAnsi="Symbol" w:hint="default"/>
      </w:rPr>
    </w:lvl>
  </w:abstractNum>
  <w:abstractNum w:abstractNumId="4" w15:restartNumberingAfterBreak="0">
    <w:nsid w:val="0899193C"/>
    <w:multiLevelType w:val="hybridMultilevel"/>
    <w:tmpl w:val="B6C4FB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0CEC6F87"/>
    <w:multiLevelType w:val="singleLevel"/>
    <w:tmpl w:val="8F16ACEE"/>
    <w:lvl w:ilvl="0">
      <w:start w:val="1"/>
      <w:numFmt w:val="bullet"/>
      <w:lvlText w:val=""/>
      <w:lvlJc w:val="left"/>
      <w:pPr>
        <w:tabs>
          <w:tab w:val="num" w:pos="397"/>
        </w:tabs>
        <w:ind w:left="397" w:hanging="397"/>
      </w:pPr>
      <w:rPr>
        <w:rFonts w:ascii="Symbol" w:hAnsi="Symbol" w:hint="default"/>
      </w:rPr>
    </w:lvl>
  </w:abstractNum>
  <w:abstractNum w:abstractNumId="6" w15:restartNumberingAfterBreak="0">
    <w:nsid w:val="10CD40D6"/>
    <w:multiLevelType w:val="hybridMultilevel"/>
    <w:tmpl w:val="4724C75C"/>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13863FAB"/>
    <w:multiLevelType w:val="hybridMultilevel"/>
    <w:tmpl w:val="8410EB78"/>
    <w:lvl w:ilvl="0" w:tplc="0FAEDFFA">
      <w:start w:val="1"/>
      <w:numFmt w:val="bullet"/>
      <w:lvlText w:val=""/>
      <w:lvlJc w:val="left"/>
      <w:pPr>
        <w:tabs>
          <w:tab w:val="num" w:pos="1287"/>
        </w:tabs>
        <w:ind w:left="1287" w:hanging="927"/>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4AF322E"/>
    <w:multiLevelType w:val="hybridMultilevel"/>
    <w:tmpl w:val="B1162430"/>
    <w:lvl w:ilvl="0" w:tplc="345C3E54">
      <w:start w:val="1"/>
      <w:numFmt w:val="bullet"/>
      <w:lvlText w:val=""/>
      <w:lvlJc w:val="left"/>
      <w:pPr>
        <w:tabs>
          <w:tab w:val="num" w:pos="36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413761"/>
    <w:multiLevelType w:val="hybridMultilevel"/>
    <w:tmpl w:val="7166EF24"/>
    <w:lvl w:ilvl="0" w:tplc="345C3E54">
      <w:start w:val="1"/>
      <w:numFmt w:val="bullet"/>
      <w:lvlText w:val=""/>
      <w:lvlJc w:val="left"/>
      <w:pPr>
        <w:tabs>
          <w:tab w:val="num" w:pos="36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267669"/>
    <w:multiLevelType w:val="hybridMultilevel"/>
    <w:tmpl w:val="B85423B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7A00C8"/>
    <w:multiLevelType w:val="hybridMultilevel"/>
    <w:tmpl w:val="333032CE"/>
    <w:lvl w:ilvl="0" w:tplc="E3747AC6">
      <w:start w:val="1"/>
      <w:numFmt w:val="bullet"/>
      <w:lvlText w:val=""/>
      <w:lvlJc w:val="left"/>
      <w:pPr>
        <w:tabs>
          <w:tab w:val="num" w:pos="36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A24537"/>
    <w:multiLevelType w:val="hybridMultilevel"/>
    <w:tmpl w:val="12FCC3A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24E06E41"/>
    <w:multiLevelType w:val="singleLevel"/>
    <w:tmpl w:val="FFFFFFFF"/>
    <w:lvl w:ilvl="0">
      <w:start w:val="1"/>
      <w:numFmt w:val="bullet"/>
      <w:lvlText w:val=""/>
      <w:legacy w:legacy="1" w:legacySpace="0" w:legacyIndent="283"/>
      <w:lvlJc w:val="left"/>
      <w:pPr>
        <w:ind w:left="284" w:hanging="283"/>
      </w:pPr>
      <w:rPr>
        <w:rFonts w:ascii="Symbol" w:hAnsi="Symbol" w:hint="default"/>
      </w:rPr>
    </w:lvl>
  </w:abstractNum>
  <w:abstractNum w:abstractNumId="14" w15:restartNumberingAfterBreak="0">
    <w:nsid w:val="250B51F7"/>
    <w:multiLevelType w:val="hybridMultilevel"/>
    <w:tmpl w:val="7192529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F25418"/>
    <w:multiLevelType w:val="hybridMultilevel"/>
    <w:tmpl w:val="AB4AB6AC"/>
    <w:lvl w:ilvl="0" w:tplc="E3747AC6">
      <w:start w:val="1"/>
      <w:numFmt w:val="bullet"/>
      <w:lvlText w:val=""/>
      <w:lvlJc w:val="left"/>
      <w:pPr>
        <w:tabs>
          <w:tab w:val="num" w:pos="36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2518EE"/>
    <w:multiLevelType w:val="hybridMultilevel"/>
    <w:tmpl w:val="4A10D22C"/>
    <w:lvl w:ilvl="0" w:tplc="E3747AC6">
      <w:start w:val="1"/>
      <w:numFmt w:val="bullet"/>
      <w:lvlText w:val=""/>
      <w:lvlJc w:val="left"/>
      <w:pPr>
        <w:tabs>
          <w:tab w:val="num" w:pos="36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1349E8"/>
    <w:multiLevelType w:val="hybridMultilevel"/>
    <w:tmpl w:val="20220C12"/>
    <w:lvl w:ilvl="0" w:tplc="E3747AC6">
      <w:start w:val="1"/>
      <w:numFmt w:val="bullet"/>
      <w:lvlText w:val=""/>
      <w:lvlJc w:val="left"/>
      <w:pPr>
        <w:tabs>
          <w:tab w:val="num" w:pos="36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693E7D"/>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9" w15:restartNumberingAfterBreak="0">
    <w:nsid w:val="2E2F6A73"/>
    <w:multiLevelType w:val="hybridMultilevel"/>
    <w:tmpl w:val="985C6916"/>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0" w15:restartNumberingAfterBreak="0">
    <w:nsid w:val="320E06D3"/>
    <w:multiLevelType w:val="hybridMultilevel"/>
    <w:tmpl w:val="0CAC9D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633AD8"/>
    <w:multiLevelType w:val="hybridMultilevel"/>
    <w:tmpl w:val="8410C97A"/>
    <w:lvl w:ilvl="0" w:tplc="E3747AC6">
      <w:start w:val="1"/>
      <w:numFmt w:val="bullet"/>
      <w:lvlText w:val=""/>
      <w:lvlJc w:val="left"/>
      <w:pPr>
        <w:tabs>
          <w:tab w:val="num" w:pos="36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D05ED6"/>
    <w:multiLevelType w:val="multilevel"/>
    <w:tmpl w:val="ECEA73DE"/>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93B48E2"/>
    <w:multiLevelType w:val="hybridMultilevel"/>
    <w:tmpl w:val="B498C3A8"/>
    <w:lvl w:ilvl="0" w:tplc="E3747AC6">
      <w:start w:val="1"/>
      <w:numFmt w:val="bullet"/>
      <w:lvlText w:val=""/>
      <w:lvlJc w:val="left"/>
      <w:pPr>
        <w:tabs>
          <w:tab w:val="num" w:pos="36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FE72AD"/>
    <w:multiLevelType w:val="hybridMultilevel"/>
    <w:tmpl w:val="4520483A"/>
    <w:lvl w:ilvl="0" w:tplc="345C3E54">
      <w:start w:val="1"/>
      <w:numFmt w:val="bullet"/>
      <w:lvlText w:val=""/>
      <w:lvlJc w:val="left"/>
      <w:pPr>
        <w:tabs>
          <w:tab w:val="num" w:pos="36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CA33E1"/>
    <w:multiLevelType w:val="hybridMultilevel"/>
    <w:tmpl w:val="039E229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EE5FD0"/>
    <w:multiLevelType w:val="hybridMultilevel"/>
    <w:tmpl w:val="DD906B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03751E"/>
    <w:multiLevelType w:val="singleLevel"/>
    <w:tmpl w:val="8F16ACEE"/>
    <w:lvl w:ilvl="0">
      <w:start w:val="1"/>
      <w:numFmt w:val="bullet"/>
      <w:lvlText w:val=""/>
      <w:lvlJc w:val="left"/>
      <w:pPr>
        <w:tabs>
          <w:tab w:val="num" w:pos="397"/>
        </w:tabs>
        <w:ind w:left="397" w:hanging="397"/>
      </w:pPr>
      <w:rPr>
        <w:rFonts w:ascii="Symbol" w:hAnsi="Symbol" w:hint="default"/>
      </w:rPr>
    </w:lvl>
  </w:abstractNum>
  <w:abstractNum w:abstractNumId="28" w15:restartNumberingAfterBreak="0">
    <w:nsid w:val="412D2846"/>
    <w:multiLevelType w:val="hybridMultilevel"/>
    <w:tmpl w:val="9C804408"/>
    <w:lvl w:ilvl="0" w:tplc="E3747AC6">
      <w:start w:val="1"/>
      <w:numFmt w:val="bullet"/>
      <w:lvlText w:val=""/>
      <w:lvlJc w:val="left"/>
      <w:pPr>
        <w:tabs>
          <w:tab w:val="num" w:pos="36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626E2D"/>
    <w:multiLevelType w:val="hybridMultilevel"/>
    <w:tmpl w:val="099E31DC"/>
    <w:lvl w:ilvl="0" w:tplc="E3747AC6">
      <w:start w:val="1"/>
      <w:numFmt w:val="bullet"/>
      <w:lvlText w:val=""/>
      <w:lvlJc w:val="left"/>
      <w:pPr>
        <w:tabs>
          <w:tab w:val="num" w:pos="36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E0313F"/>
    <w:multiLevelType w:val="hybridMultilevel"/>
    <w:tmpl w:val="E940F6DE"/>
    <w:lvl w:ilvl="0" w:tplc="E3747AC6">
      <w:start w:val="1"/>
      <w:numFmt w:val="bullet"/>
      <w:lvlText w:val=""/>
      <w:lvlJc w:val="left"/>
      <w:pPr>
        <w:tabs>
          <w:tab w:val="num" w:pos="36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895DED"/>
    <w:multiLevelType w:val="singleLevel"/>
    <w:tmpl w:val="8F16ACEE"/>
    <w:lvl w:ilvl="0">
      <w:start w:val="1"/>
      <w:numFmt w:val="bullet"/>
      <w:lvlText w:val=""/>
      <w:lvlJc w:val="left"/>
      <w:pPr>
        <w:tabs>
          <w:tab w:val="num" w:pos="397"/>
        </w:tabs>
        <w:ind w:left="397" w:hanging="397"/>
      </w:pPr>
      <w:rPr>
        <w:rFonts w:ascii="Symbol" w:hAnsi="Symbol" w:hint="default"/>
      </w:rPr>
    </w:lvl>
  </w:abstractNum>
  <w:abstractNum w:abstractNumId="32" w15:restartNumberingAfterBreak="0">
    <w:nsid w:val="49922782"/>
    <w:multiLevelType w:val="hybridMultilevel"/>
    <w:tmpl w:val="4724C75C"/>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3" w15:restartNumberingAfterBreak="0">
    <w:nsid w:val="4DF73366"/>
    <w:multiLevelType w:val="hybridMultilevel"/>
    <w:tmpl w:val="B70CBA00"/>
    <w:lvl w:ilvl="0" w:tplc="345C3E54">
      <w:start w:val="1"/>
      <w:numFmt w:val="bullet"/>
      <w:lvlText w:val=""/>
      <w:lvlJc w:val="left"/>
      <w:pPr>
        <w:tabs>
          <w:tab w:val="num" w:pos="36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E280C23"/>
    <w:multiLevelType w:val="hybridMultilevel"/>
    <w:tmpl w:val="4724C75C"/>
    <w:lvl w:ilvl="0" w:tplc="08070017">
      <w:start w:val="1"/>
      <w:numFmt w:val="lowerLetter"/>
      <w:lvlText w:val="%1)"/>
      <w:lvlJc w:val="left"/>
      <w:pPr>
        <w:ind w:left="1069" w:hanging="360"/>
      </w:pPr>
      <w:rPr>
        <w:rFonts w:hint="default"/>
      </w:r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35" w15:restartNumberingAfterBreak="0">
    <w:nsid w:val="52B94DD4"/>
    <w:multiLevelType w:val="hybridMultilevel"/>
    <w:tmpl w:val="FE384CEC"/>
    <w:lvl w:ilvl="0" w:tplc="59800826">
      <w:start w:val="1"/>
      <w:numFmt w:val="lowerLetter"/>
      <w:lvlText w:val="%1)"/>
      <w:lvlJc w:val="left"/>
      <w:pPr>
        <w:ind w:left="930" w:hanging="360"/>
      </w:pPr>
      <w:rPr>
        <w:rFonts w:hint="default"/>
      </w:rPr>
    </w:lvl>
    <w:lvl w:ilvl="1" w:tplc="08070019" w:tentative="1">
      <w:start w:val="1"/>
      <w:numFmt w:val="lowerLetter"/>
      <w:lvlText w:val="%2."/>
      <w:lvlJc w:val="left"/>
      <w:pPr>
        <w:ind w:left="1650" w:hanging="360"/>
      </w:pPr>
    </w:lvl>
    <w:lvl w:ilvl="2" w:tplc="0807001B" w:tentative="1">
      <w:start w:val="1"/>
      <w:numFmt w:val="lowerRoman"/>
      <w:lvlText w:val="%3."/>
      <w:lvlJc w:val="right"/>
      <w:pPr>
        <w:ind w:left="2370" w:hanging="180"/>
      </w:pPr>
    </w:lvl>
    <w:lvl w:ilvl="3" w:tplc="0807000F" w:tentative="1">
      <w:start w:val="1"/>
      <w:numFmt w:val="decimal"/>
      <w:lvlText w:val="%4."/>
      <w:lvlJc w:val="left"/>
      <w:pPr>
        <w:ind w:left="3090" w:hanging="360"/>
      </w:pPr>
    </w:lvl>
    <w:lvl w:ilvl="4" w:tplc="08070019" w:tentative="1">
      <w:start w:val="1"/>
      <w:numFmt w:val="lowerLetter"/>
      <w:lvlText w:val="%5."/>
      <w:lvlJc w:val="left"/>
      <w:pPr>
        <w:ind w:left="3810" w:hanging="360"/>
      </w:pPr>
    </w:lvl>
    <w:lvl w:ilvl="5" w:tplc="0807001B" w:tentative="1">
      <w:start w:val="1"/>
      <w:numFmt w:val="lowerRoman"/>
      <w:lvlText w:val="%6."/>
      <w:lvlJc w:val="right"/>
      <w:pPr>
        <w:ind w:left="4530" w:hanging="180"/>
      </w:pPr>
    </w:lvl>
    <w:lvl w:ilvl="6" w:tplc="0807000F" w:tentative="1">
      <w:start w:val="1"/>
      <w:numFmt w:val="decimal"/>
      <w:lvlText w:val="%7."/>
      <w:lvlJc w:val="left"/>
      <w:pPr>
        <w:ind w:left="5250" w:hanging="360"/>
      </w:pPr>
    </w:lvl>
    <w:lvl w:ilvl="7" w:tplc="08070019" w:tentative="1">
      <w:start w:val="1"/>
      <w:numFmt w:val="lowerLetter"/>
      <w:lvlText w:val="%8."/>
      <w:lvlJc w:val="left"/>
      <w:pPr>
        <w:ind w:left="5970" w:hanging="360"/>
      </w:pPr>
    </w:lvl>
    <w:lvl w:ilvl="8" w:tplc="0807001B" w:tentative="1">
      <w:start w:val="1"/>
      <w:numFmt w:val="lowerRoman"/>
      <w:lvlText w:val="%9."/>
      <w:lvlJc w:val="right"/>
      <w:pPr>
        <w:ind w:left="6690" w:hanging="180"/>
      </w:pPr>
    </w:lvl>
  </w:abstractNum>
  <w:abstractNum w:abstractNumId="36" w15:restartNumberingAfterBreak="0">
    <w:nsid w:val="537F000D"/>
    <w:multiLevelType w:val="hybridMultilevel"/>
    <w:tmpl w:val="E9A89830"/>
    <w:lvl w:ilvl="0" w:tplc="D93EA71A">
      <w:start w:val="1"/>
      <w:numFmt w:val="lowerLetter"/>
      <w:lvlText w:val="%1)"/>
      <w:lvlJc w:val="left"/>
      <w:pPr>
        <w:ind w:left="360" w:hanging="360"/>
      </w:pPr>
      <w:rPr>
        <w:rFonts w:ascii="Arial" w:eastAsia="Times New Roman" w:hAnsi="Arial" w:cs="Arial"/>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7" w15:restartNumberingAfterBreak="0">
    <w:nsid w:val="53C86C8E"/>
    <w:multiLevelType w:val="multilevel"/>
    <w:tmpl w:val="C1BAAC0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6DD1977"/>
    <w:multiLevelType w:val="hybridMultilevel"/>
    <w:tmpl w:val="08889D5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9" w15:restartNumberingAfterBreak="0">
    <w:nsid w:val="58771F52"/>
    <w:multiLevelType w:val="hybridMultilevel"/>
    <w:tmpl w:val="8D22C73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0" w15:restartNumberingAfterBreak="0">
    <w:nsid w:val="59D218A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F3701A7"/>
    <w:multiLevelType w:val="hybridMultilevel"/>
    <w:tmpl w:val="43384662"/>
    <w:lvl w:ilvl="0" w:tplc="04070009">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062514D"/>
    <w:multiLevelType w:val="hybridMultilevel"/>
    <w:tmpl w:val="D5FCA9D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3" w15:restartNumberingAfterBreak="0">
    <w:nsid w:val="6DB502B4"/>
    <w:multiLevelType w:val="hybridMultilevel"/>
    <w:tmpl w:val="BDF88B2C"/>
    <w:lvl w:ilvl="0" w:tplc="FFFFFFFF">
      <w:start w:val="1"/>
      <w:numFmt w:val="bullet"/>
      <w:lvlText w:val=""/>
      <w:legacy w:legacy="1" w:legacySpace="0" w:legacyIndent="283"/>
      <w:lvlJc w:val="left"/>
      <w:pPr>
        <w:ind w:left="283"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E83D5D"/>
    <w:multiLevelType w:val="hybridMultilevel"/>
    <w:tmpl w:val="A5CCEEA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A1972A2"/>
    <w:multiLevelType w:val="multilevel"/>
    <w:tmpl w:val="EDA432C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B815D8E"/>
    <w:multiLevelType w:val="hybridMultilevel"/>
    <w:tmpl w:val="BC8E350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40"/>
  </w:num>
  <w:num w:numId="2">
    <w:abstractNumId w:val="3"/>
  </w:num>
  <w:num w:numId="3">
    <w:abstractNumId w:val="27"/>
  </w:num>
  <w:num w:numId="4">
    <w:abstractNumId w:val="31"/>
  </w:num>
  <w:num w:numId="5">
    <w:abstractNumId w:val="5"/>
  </w:num>
  <w:num w:numId="6">
    <w:abstractNumId w:val="44"/>
  </w:num>
  <w:num w:numId="7">
    <w:abstractNumId w:val="33"/>
  </w:num>
  <w:num w:numId="8">
    <w:abstractNumId w:val="9"/>
  </w:num>
  <w:num w:numId="9">
    <w:abstractNumId w:val="1"/>
  </w:num>
  <w:num w:numId="10">
    <w:abstractNumId w:val="8"/>
  </w:num>
  <w:num w:numId="11">
    <w:abstractNumId w:val="24"/>
  </w:num>
  <w:num w:numId="12">
    <w:abstractNumId w:val="46"/>
  </w:num>
  <w:num w:numId="13">
    <w:abstractNumId w:val="25"/>
  </w:num>
  <w:num w:numId="14">
    <w:abstractNumId w:val="10"/>
  </w:num>
  <w:num w:numId="15">
    <w:abstractNumId w:val="7"/>
  </w:num>
  <w:num w:numId="16">
    <w:abstractNumId w:val="41"/>
  </w:num>
  <w:num w:numId="17">
    <w:abstractNumId w:val="21"/>
  </w:num>
  <w:num w:numId="18">
    <w:abstractNumId w:val="2"/>
  </w:num>
  <w:num w:numId="19">
    <w:abstractNumId w:val="14"/>
  </w:num>
  <w:num w:numId="20">
    <w:abstractNumId w:val="0"/>
    <w:lvlOverride w:ilvl="0">
      <w:lvl w:ilvl="0">
        <w:start w:val="1"/>
        <w:numFmt w:val="bullet"/>
        <w:lvlText w:val=""/>
        <w:legacy w:legacy="1" w:legacySpace="0" w:legacyIndent="283"/>
        <w:lvlJc w:val="left"/>
        <w:pPr>
          <w:ind w:left="284" w:hanging="283"/>
        </w:pPr>
        <w:rPr>
          <w:rFonts w:ascii="Symbol" w:hAnsi="Symbol" w:hint="default"/>
        </w:rPr>
      </w:lvl>
    </w:lvlOverride>
  </w:num>
  <w:num w:numId="21">
    <w:abstractNumId w:val="18"/>
  </w:num>
  <w:num w:numId="22">
    <w:abstractNumId w:val="13"/>
  </w:num>
  <w:num w:numId="23">
    <w:abstractNumId w:val="43"/>
  </w:num>
  <w:num w:numId="24">
    <w:abstractNumId w:val="29"/>
  </w:num>
  <w:num w:numId="25">
    <w:abstractNumId w:val="11"/>
  </w:num>
  <w:num w:numId="26">
    <w:abstractNumId w:val="16"/>
  </w:num>
  <w:num w:numId="27">
    <w:abstractNumId w:val="28"/>
  </w:num>
  <w:num w:numId="28">
    <w:abstractNumId w:val="17"/>
  </w:num>
  <w:num w:numId="29">
    <w:abstractNumId w:val="30"/>
  </w:num>
  <w:num w:numId="30">
    <w:abstractNumId w:val="15"/>
  </w:num>
  <w:num w:numId="31">
    <w:abstractNumId w:val="23"/>
  </w:num>
  <w:num w:numId="32">
    <w:abstractNumId w:val="12"/>
  </w:num>
  <w:num w:numId="33">
    <w:abstractNumId w:val="26"/>
  </w:num>
  <w:num w:numId="3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5">
    <w:abstractNumId w:val="38"/>
  </w:num>
  <w:num w:numId="3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7">
    <w:abstractNumId w:val="42"/>
  </w:num>
  <w:num w:numId="38">
    <w:abstractNumId w:val="20"/>
  </w:num>
  <w:num w:numId="39">
    <w:abstractNumId w:val="4"/>
  </w:num>
  <w:num w:numId="40">
    <w:abstractNumId w:val="39"/>
  </w:num>
  <w:num w:numId="41">
    <w:abstractNumId w:val="19"/>
  </w:num>
  <w:num w:numId="42">
    <w:abstractNumId w:val="36"/>
  </w:num>
  <w:num w:numId="43">
    <w:abstractNumId w:val="22"/>
  </w:num>
  <w:num w:numId="44">
    <w:abstractNumId w:val="6"/>
  </w:num>
  <w:num w:numId="45">
    <w:abstractNumId w:val="32"/>
  </w:num>
  <w:num w:numId="46">
    <w:abstractNumId w:val="34"/>
  </w:num>
  <w:num w:numId="47">
    <w:abstractNumId w:val="35"/>
  </w:num>
  <w:num w:numId="48">
    <w:abstractNumId w:val="45"/>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84"/>
  <w:doNotHyphenateCaps/>
  <w:drawingGridHorizontalSpacing w:val="57"/>
  <w:drawingGridVerticalSpacing w:val="57"/>
  <w:displayHorizontalDrawingGridEvery w:val="0"/>
  <w:displayVerticalDrawingGridEvery w:val="0"/>
  <w:doNotUseMarginsForDrawingGridOrigin/>
  <w:drawingGridVerticalOrigin w:val="1985"/>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0FB"/>
    <w:rsid w:val="00026E0D"/>
    <w:rsid w:val="00027063"/>
    <w:rsid w:val="00030110"/>
    <w:rsid w:val="00034830"/>
    <w:rsid w:val="00040E13"/>
    <w:rsid w:val="00063EE9"/>
    <w:rsid w:val="000930CC"/>
    <w:rsid w:val="000A19D1"/>
    <w:rsid w:val="000E7317"/>
    <w:rsid w:val="000F4D12"/>
    <w:rsid w:val="00100E58"/>
    <w:rsid w:val="0010198A"/>
    <w:rsid w:val="00102B22"/>
    <w:rsid w:val="001036AD"/>
    <w:rsid w:val="00136D8C"/>
    <w:rsid w:val="0014033B"/>
    <w:rsid w:val="0014163E"/>
    <w:rsid w:val="00196946"/>
    <w:rsid w:val="001B1407"/>
    <w:rsid w:val="001B7776"/>
    <w:rsid w:val="00226F89"/>
    <w:rsid w:val="00231CB7"/>
    <w:rsid w:val="002417E7"/>
    <w:rsid w:val="00252133"/>
    <w:rsid w:val="00257747"/>
    <w:rsid w:val="00264828"/>
    <w:rsid w:val="00265049"/>
    <w:rsid w:val="00274D90"/>
    <w:rsid w:val="00275C12"/>
    <w:rsid w:val="002827C0"/>
    <w:rsid w:val="00291157"/>
    <w:rsid w:val="002A094A"/>
    <w:rsid w:val="002C219F"/>
    <w:rsid w:val="002C7927"/>
    <w:rsid w:val="002D72F5"/>
    <w:rsid w:val="002E2C0F"/>
    <w:rsid w:val="002F3092"/>
    <w:rsid w:val="00303ABD"/>
    <w:rsid w:val="003151A5"/>
    <w:rsid w:val="00321C05"/>
    <w:rsid w:val="0032524A"/>
    <w:rsid w:val="0037784E"/>
    <w:rsid w:val="003977F5"/>
    <w:rsid w:val="003C3656"/>
    <w:rsid w:val="003E7B78"/>
    <w:rsid w:val="003F4F39"/>
    <w:rsid w:val="003F75F4"/>
    <w:rsid w:val="00421D6B"/>
    <w:rsid w:val="00422AB8"/>
    <w:rsid w:val="00436CBC"/>
    <w:rsid w:val="0044726D"/>
    <w:rsid w:val="004923F0"/>
    <w:rsid w:val="004D43EA"/>
    <w:rsid w:val="005035EA"/>
    <w:rsid w:val="00511B3A"/>
    <w:rsid w:val="00522D3D"/>
    <w:rsid w:val="00525D20"/>
    <w:rsid w:val="00534A85"/>
    <w:rsid w:val="005423ED"/>
    <w:rsid w:val="0054638E"/>
    <w:rsid w:val="0056080A"/>
    <w:rsid w:val="005A6D0D"/>
    <w:rsid w:val="005C61D5"/>
    <w:rsid w:val="005C6DBC"/>
    <w:rsid w:val="005D0F54"/>
    <w:rsid w:val="00605A97"/>
    <w:rsid w:val="00613B74"/>
    <w:rsid w:val="006248F4"/>
    <w:rsid w:val="0063309D"/>
    <w:rsid w:val="00636FEA"/>
    <w:rsid w:val="00637727"/>
    <w:rsid w:val="00644EE1"/>
    <w:rsid w:val="00647C76"/>
    <w:rsid w:val="00660B9F"/>
    <w:rsid w:val="006A31DA"/>
    <w:rsid w:val="006C5C1B"/>
    <w:rsid w:val="006E2329"/>
    <w:rsid w:val="006F2710"/>
    <w:rsid w:val="00740ED9"/>
    <w:rsid w:val="00746124"/>
    <w:rsid w:val="00761828"/>
    <w:rsid w:val="00774535"/>
    <w:rsid w:val="007854DE"/>
    <w:rsid w:val="00791CA5"/>
    <w:rsid w:val="00793B51"/>
    <w:rsid w:val="007A5637"/>
    <w:rsid w:val="007B148F"/>
    <w:rsid w:val="007B3C71"/>
    <w:rsid w:val="007E5FDF"/>
    <w:rsid w:val="007F3731"/>
    <w:rsid w:val="00813D74"/>
    <w:rsid w:val="00823521"/>
    <w:rsid w:val="00846207"/>
    <w:rsid w:val="00864E92"/>
    <w:rsid w:val="0086799A"/>
    <w:rsid w:val="0088258B"/>
    <w:rsid w:val="00886DA9"/>
    <w:rsid w:val="00891378"/>
    <w:rsid w:val="00892163"/>
    <w:rsid w:val="008C20A0"/>
    <w:rsid w:val="008D7B93"/>
    <w:rsid w:val="00930223"/>
    <w:rsid w:val="0099460C"/>
    <w:rsid w:val="009A509A"/>
    <w:rsid w:val="009B10FB"/>
    <w:rsid w:val="009B1A75"/>
    <w:rsid w:val="009C7005"/>
    <w:rsid w:val="009D7CCB"/>
    <w:rsid w:val="00A026C3"/>
    <w:rsid w:val="00A13474"/>
    <w:rsid w:val="00A43519"/>
    <w:rsid w:val="00A60BC3"/>
    <w:rsid w:val="00AC7D62"/>
    <w:rsid w:val="00AD55EF"/>
    <w:rsid w:val="00B1129E"/>
    <w:rsid w:val="00B149F1"/>
    <w:rsid w:val="00B225FA"/>
    <w:rsid w:val="00B26F1F"/>
    <w:rsid w:val="00B503BA"/>
    <w:rsid w:val="00B90204"/>
    <w:rsid w:val="00BC7152"/>
    <w:rsid w:val="00BD13E8"/>
    <w:rsid w:val="00BD7A8C"/>
    <w:rsid w:val="00BE2CAD"/>
    <w:rsid w:val="00BF50F7"/>
    <w:rsid w:val="00C0176A"/>
    <w:rsid w:val="00C16F61"/>
    <w:rsid w:val="00C20EEC"/>
    <w:rsid w:val="00C31ED6"/>
    <w:rsid w:val="00C31FB2"/>
    <w:rsid w:val="00C645AE"/>
    <w:rsid w:val="00C8313A"/>
    <w:rsid w:val="00C90FA8"/>
    <w:rsid w:val="00CA2944"/>
    <w:rsid w:val="00CE2A19"/>
    <w:rsid w:val="00D34305"/>
    <w:rsid w:val="00D44104"/>
    <w:rsid w:val="00D529DE"/>
    <w:rsid w:val="00D728EA"/>
    <w:rsid w:val="00D74032"/>
    <w:rsid w:val="00D84CA6"/>
    <w:rsid w:val="00DB6F49"/>
    <w:rsid w:val="00DC6ABF"/>
    <w:rsid w:val="00DF6E16"/>
    <w:rsid w:val="00E05C58"/>
    <w:rsid w:val="00E14FEE"/>
    <w:rsid w:val="00E27D2A"/>
    <w:rsid w:val="00E41F24"/>
    <w:rsid w:val="00E544EA"/>
    <w:rsid w:val="00E923F0"/>
    <w:rsid w:val="00E94951"/>
    <w:rsid w:val="00EA4695"/>
    <w:rsid w:val="00EB430E"/>
    <w:rsid w:val="00EB7A0C"/>
    <w:rsid w:val="00EE4852"/>
    <w:rsid w:val="00EF5BD6"/>
    <w:rsid w:val="00EF5BDD"/>
    <w:rsid w:val="00F25DC1"/>
    <w:rsid w:val="00F36725"/>
    <w:rsid w:val="00F52C34"/>
    <w:rsid w:val="00F62A4C"/>
    <w:rsid w:val="00FA0DF8"/>
    <w:rsid w:val="00FA6B8D"/>
    <w:rsid w:val="00FC4894"/>
    <w:rsid w:val="00FD29E0"/>
    <w:rsid w:val="00FE310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A7D1FC8"/>
  <w15:docId w15:val="{F57150CB-F177-4B6A-A5D9-70D067E51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lang w:eastAsia="de-DE"/>
    </w:rPr>
  </w:style>
  <w:style w:type="paragraph" w:styleId="berschrift1">
    <w:name w:val="heading 1"/>
    <w:basedOn w:val="Standard"/>
    <w:next w:val="Standard"/>
    <w:qFormat/>
    <w:pPr>
      <w:keepNext/>
      <w:spacing w:after="200"/>
      <w:ind w:right="567"/>
      <w:outlineLvl w:val="0"/>
    </w:pPr>
    <w:rPr>
      <w:b/>
      <w:sz w:val="28"/>
    </w:rPr>
  </w:style>
  <w:style w:type="paragraph" w:styleId="berschrift2">
    <w:name w:val="heading 2"/>
    <w:basedOn w:val="Standard"/>
    <w:next w:val="Standard"/>
    <w:qFormat/>
    <w:pPr>
      <w:keepNext/>
      <w:ind w:right="-1"/>
      <w:jc w:val="both"/>
      <w:outlineLvl w:val="1"/>
    </w:pPr>
    <w:rPr>
      <w:b/>
      <w:bCs/>
      <w:sz w:val="24"/>
    </w:rPr>
  </w:style>
  <w:style w:type="paragraph" w:styleId="berschrift3">
    <w:name w:val="heading 3"/>
    <w:basedOn w:val="Standard"/>
    <w:next w:val="Standard"/>
    <w:qFormat/>
    <w:pPr>
      <w:keepNext/>
      <w:ind w:right="-1"/>
      <w:jc w:val="both"/>
      <w:outlineLvl w:val="2"/>
    </w:pPr>
    <w:rPr>
      <w:b/>
      <w:bCs/>
      <w:sz w:val="28"/>
    </w:rPr>
  </w:style>
  <w:style w:type="paragraph" w:styleId="berschrift4">
    <w:name w:val="heading 4"/>
    <w:basedOn w:val="Standard"/>
    <w:next w:val="Standard"/>
    <w:qFormat/>
    <w:pPr>
      <w:keepNext/>
      <w:spacing w:after="220"/>
      <w:ind w:left="567" w:hanging="567"/>
      <w:jc w:val="both"/>
      <w:outlineLvl w:val="3"/>
    </w:pPr>
    <w:rPr>
      <w:b/>
      <w:sz w:val="24"/>
    </w:rPr>
  </w:style>
  <w:style w:type="paragraph" w:styleId="berschrift5">
    <w:name w:val="heading 5"/>
    <w:basedOn w:val="Standard"/>
    <w:next w:val="Standard"/>
    <w:qFormat/>
    <w:pPr>
      <w:keepNext/>
      <w:jc w:val="both"/>
      <w:outlineLvl w:val="4"/>
    </w:pPr>
    <w:rPr>
      <w:b/>
      <w:sz w:val="21"/>
    </w:rPr>
  </w:style>
  <w:style w:type="paragraph" w:styleId="berschrift6">
    <w:name w:val="heading 6"/>
    <w:basedOn w:val="Standard"/>
    <w:next w:val="Standard"/>
    <w:qFormat/>
    <w:pPr>
      <w:keepNext/>
      <w:jc w:val="both"/>
      <w:outlineLvl w:val="5"/>
    </w:pPr>
    <w:rPr>
      <w:b/>
    </w:rPr>
  </w:style>
  <w:style w:type="paragraph" w:styleId="berschrift7">
    <w:name w:val="heading 7"/>
    <w:basedOn w:val="Standard"/>
    <w:next w:val="Standard"/>
    <w:qFormat/>
    <w:pPr>
      <w:keepNext/>
      <w:jc w:val="both"/>
      <w:outlineLvl w:val="6"/>
    </w:pPr>
    <w:rPr>
      <w:b/>
      <w:sz w:val="48"/>
    </w:rPr>
  </w:style>
  <w:style w:type="paragraph" w:styleId="berschrift8">
    <w:name w:val="heading 8"/>
    <w:basedOn w:val="Standard"/>
    <w:next w:val="Standard"/>
    <w:qFormat/>
    <w:pPr>
      <w:keepNext/>
      <w:jc w:val="both"/>
      <w:outlineLvl w:val="7"/>
    </w:pPr>
    <w:rPr>
      <w:b/>
      <w:bCs/>
      <w:sz w:val="36"/>
    </w:rPr>
  </w:style>
  <w:style w:type="paragraph" w:styleId="berschrift9">
    <w:name w:val="heading 9"/>
    <w:basedOn w:val="Standard"/>
    <w:next w:val="Standard"/>
    <w:qFormat/>
    <w:pPr>
      <w:keepNext/>
      <w:jc w:val="both"/>
      <w:outlineLvl w:val="8"/>
    </w:pPr>
    <w:rPr>
      <w:b/>
      <w:b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ind w:right="-1418"/>
      <w:jc w:val="both"/>
    </w:pPr>
    <w:rPr>
      <w:sz w:val="24"/>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ind w:right="-1"/>
      <w:jc w:val="both"/>
    </w:pPr>
    <w:rPr>
      <w:sz w:val="24"/>
    </w:rPr>
  </w:style>
  <w:style w:type="paragraph" w:styleId="Index2">
    <w:name w:val="index 2"/>
    <w:basedOn w:val="Standard"/>
    <w:next w:val="Standard"/>
    <w:autoRedefine/>
    <w:semiHidden/>
    <w:pPr>
      <w:tabs>
        <w:tab w:val="right" w:leader="dot" w:pos="4034"/>
      </w:tabs>
      <w:ind w:left="400" w:hanging="200"/>
      <w:jc w:val="both"/>
    </w:pPr>
  </w:style>
  <w:style w:type="paragraph" w:styleId="Index1">
    <w:name w:val="index 1"/>
    <w:basedOn w:val="Standard"/>
    <w:next w:val="Standard"/>
    <w:autoRedefine/>
    <w:semiHidden/>
    <w:pPr>
      <w:tabs>
        <w:tab w:val="right" w:leader="dot" w:pos="4034"/>
      </w:tabs>
      <w:ind w:left="200" w:hanging="200"/>
      <w:jc w:val="both"/>
    </w:pPr>
  </w:style>
  <w:style w:type="paragraph" w:styleId="Index3">
    <w:name w:val="index 3"/>
    <w:basedOn w:val="Standard"/>
    <w:next w:val="Standard"/>
    <w:autoRedefine/>
    <w:semiHidden/>
    <w:pPr>
      <w:tabs>
        <w:tab w:val="right" w:leader="dot" w:pos="4034"/>
      </w:tabs>
      <w:ind w:left="600" w:hanging="200"/>
      <w:jc w:val="both"/>
    </w:pPr>
  </w:style>
  <w:style w:type="paragraph" w:styleId="Index4">
    <w:name w:val="index 4"/>
    <w:basedOn w:val="Standard"/>
    <w:next w:val="Standard"/>
    <w:autoRedefine/>
    <w:semiHidden/>
    <w:pPr>
      <w:tabs>
        <w:tab w:val="right" w:leader="dot" w:pos="4034"/>
      </w:tabs>
      <w:ind w:left="800" w:hanging="200"/>
      <w:jc w:val="both"/>
    </w:pPr>
  </w:style>
  <w:style w:type="paragraph" w:styleId="Index5">
    <w:name w:val="index 5"/>
    <w:basedOn w:val="Standard"/>
    <w:next w:val="Standard"/>
    <w:autoRedefine/>
    <w:semiHidden/>
    <w:pPr>
      <w:tabs>
        <w:tab w:val="right" w:leader="dot" w:pos="4034"/>
      </w:tabs>
      <w:ind w:left="1000" w:hanging="200"/>
      <w:jc w:val="both"/>
    </w:pPr>
  </w:style>
  <w:style w:type="paragraph" w:styleId="Index6">
    <w:name w:val="index 6"/>
    <w:basedOn w:val="Standard"/>
    <w:next w:val="Standard"/>
    <w:autoRedefine/>
    <w:semiHidden/>
    <w:pPr>
      <w:tabs>
        <w:tab w:val="right" w:leader="dot" w:pos="4034"/>
      </w:tabs>
      <w:ind w:left="1200" w:hanging="200"/>
      <w:jc w:val="both"/>
    </w:pPr>
  </w:style>
  <w:style w:type="paragraph" w:styleId="Index7">
    <w:name w:val="index 7"/>
    <w:basedOn w:val="Standard"/>
    <w:next w:val="Standard"/>
    <w:autoRedefine/>
    <w:semiHidden/>
    <w:pPr>
      <w:tabs>
        <w:tab w:val="right" w:leader="dot" w:pos="4034"/>
      </w:tabs>
      <w:ind w:left="1400" w:hanging="200"/>
      <w:jc w:val="both"/>
    </w:pPr>
  </w:style>
  <w:style w:type="paragraph" w:styleId="Index8">
    <w:name w:val="index 8"/>
    <w:basedOn w:val="Standard"/>
    <w:next w:val="Standard"/>
    <w:autoRedefine/>
    <w:semiHidden/>
    <w:pPr>
      <w:tabs>
        <w:tab w:val="right" w:leader="dot" w:pos="4034"/>
      </w:tabs>
      <w:ind w:left="1600" w:hanging="200"/>
      <w:jc w:val="both"/>
    </w:pPr>
  </w:style>
  <w:style w:type="paragraph" w:styleId="Index9">
    <w:name w:val="index 9"/>
    <w:basedOn w:val="Standard"/>
    <w:next w:val="Standard"/>
    <w:autoRedefine/>
    <w:semiHidden/>
    <w:pPr>
      <w:tabs>
        <w:tab w:val="right" w:leader="dot" w:pos="4034"/>
      </w:tabs>
      <w:ind w:left="1800" w:hanging="200"/>
      <w:jc w:val="both"/>
    </w:pPr>
  </w:style>
  <w:style w:type="paragraph" w:styleId="Indexberschrift">
    <w:name w:val="index heading"/>
    <w:basedOn w:val="Standard"/>
    <w:next w:val="Index1"/>
    <w:semiHidden/>
    <w:pPr>
      <w:jc w:val="both"/>
    </w:pPr>
  </w:style>
  <w:style w:type="paragraph" w:styleId="Verzeichnis2">
    <w:name w:val="toc 2"/>
    <w:basedOn w:val="Standard"/>
    <w:next w:val="Standard"/>
    <w:autoRedefine/>
    <w:semiHidden/>
    <w:pPr>
      <w:tabs>
        <w:tab w:val="right" w:leader="dot" w:pos="9185"/>
      </w:tabs>
      <w:spacing w:line="300" w:lineRule="exact"/>
      <w:ind w:left="198"/>
      <w:jc w:val="both"/>
    </w:pPr>
    <w:rPr>
      <w:b/>
    </w:rPr>
  </w:style>
  <w:style w:type="paragraph" w:styleId="Verzeichnis1">
    <w:name w:val="toc 1"/>
    <w:basedOn w:val="Standard"/>
    <w:next w:val="Standard"/>
    <w:autoRedefine/>
    <w:uiPriority w:val="39"/>
    <w:pPr>
      <w:tabs>
        <w:tab w:val="right" w:leader="dot" w:pos="9185"/>
      </w:tabs>
      <w:spacing w:before="120" w:line="300" w:lineRule="exact"/>
      <w:jc w:val="both"/>
    </w:pPr>
    <w:rPr>
      <w:b/>
    </w:rPr>
  </w:style>
  <w:style w:type="paragraph" w:styleId="Verzeichnis3">
    <w:name w:val="toc 3"/>
    <w:basedOn w:val="Standard"/>
    <w:next w:val="Standard"/>
    <w:autoRedefine/>
    <w:semiHidden/>
    <w:pPr>
      <w:tabs>
        <w:tab w:val="right" w:leader="dot" w:pos="9185"/>
      </w:tabs>
      <w:ind w:left="800" w:right="1418" w:hanging="397"/>
    </w:pPr>
    <w:rPr>
      <w:noProof/>
      <w:szCs w:val="28"/>
    </w:rPr>
  </w:style>
  <w:style w:type="paragraph" w:styleId="Verzeichnis4">
    <w:name w:val="toc 4"/>
    <w:basedOn w:val="Standard"/>
    <w:next w:val="Standard"/>
    <w:autoRedefine/>
    <w:semiHidden/>
    <w:pPr>
      <w:tabs>
        <w:tab w:val="right" w:leader="dot" w:pos="9185"/>
      </w:tabs>
      <w:ind w:left="600"/>
    </w:pPr>
    <w:rPr>
      <w:noProof/>
    </w:rPr>
  </w:style>
  <w:style w:type="paragraph" w:styleId="Verzeichnis5">
    <w:name w:val="toc 5"/>
    <w:basedOn w:val="Standard"/>
    <w:next w:val="Standard"/>
    <w:autoRedefine/>
    <w:semiHidden/>
    <w:pPr>
      <w:tabs>
        <w:tab w:val="right" w:leader="dot" w:pos="8788"/>
      </w:tabs>
      <w:ind w:left="800"/>
      <w:jc w:val="both"/>
    </w:pPr>
  </w:style>
  <w:style w:type="paragraph" w:styleId="Verzeichnis6">
    <w:name w:val="toc 6"/>
    <w:basedOn w:val="Standard"/>
    <w:next w:val="Standard"/>
    <w:autoRedefine/>
    <w:semiHidden/>
    <w:pPr>
      <w:tabs>
        <w:tab w:val="right" w:leader="dot" w:pos="8788"/>
      </w:tabs>
      <w:ind w:left="1000"/>
      <w:jc w:val="both"/>
    </w:pPr>
  </w:style>
  <w:style w:type="paragraph" w:styleId="Verzeichnis7">
    <w:name w:val="toc 7"/>
    <w:basedOn w:val="Standard"/>
    <w:next w:val="Standard"/>
    <w:autoRedefine/>
    <w:semiHidden/>
    <w:pPr>
      <w:tabs>
        <w:tab w:val="right" w:leader="dot" w:pos="8788"/>
      </w:tabs>
      <w:ind w:left="1200"/>
      <w:jc w:val="both"/>
    </w:pPr>
  </w:style>
  <w:style w:type="paragraph" w:styleId="Verzeichnis8">
    <w:name w:val="toc 8"/>
    <w:basedOn w:val="Standard"/>
    <w:next w:val="Standard"/>
    <w:autoRedefine/>
    <w:semiHidden/>
    <w:pPr>
      <w:tabs>
        <w:tab w:val="right" w:leader="dot" w:pos="8788"/>
      </w:tabs>
      <w:ind w:left="1400"/>
      <w:jc w:val="both"/>
    </w:pPr>
  </w:style>
  <w:style w:type="paragraph" w:styleId="Verzeichnis9">
    <w:name w:val="toc 9"/>
    <w:basedOn w:val="Standard"/>
    <w:next w:val="Standard"/>
    <w:autoRedefine/>
    <w:semiHidden/>
    <w:pPr>
      <w:tabs>
        <w:tab w:val="right" w:leader="dot" w:pos="8788"/>
      </w:tabs>
      <w:ind w:left="1600"/>
      <w:jc w:val="both"/>
    </w:pPr>
  </w:style>
  <w:style w:type="paragraph" w:styleId="Textkrper3">
    <w:name w:val="Body Text 3"/>
    <w:basedOn w:val="Standard"/>
    <w:pPr>
      <w:tabs>
        <w:tab w:val="left" w:pos="6804"/>
      </w:tabs>
      <w:jc w:val="both"/>
    </w:pPr>
  </w:style>
  <w:style w:type="paragraph" w:styleId="Dokumentstruktur">
    <w:name w:val="Document Map"/>
    <w:basedOn w:val="Standard"/>
    <w:semiHidden/>
    <w:pPr>
      <w:shd w:val="clear" w:color="auto" w:fill="000080"/>
      <w:jc w:val="both"/>
    </w:pPr>
    <w:rPr>
      <w:rFonts w:ascii="Tahoma" w:hAnsi="Tahoma"/>
    </w:rPr>
  </w:style>
  <w:style w:type="paragraph" w:styleId="Textkrper-Zeileneinzug">
    <w:name w:val="Body Text Indent"/>
    <w:basedOn w:val="Standard"/>
    <w:pPr>
      <w:widowControl w:val="0"/>
      <w:autoSpaceDE w:val="0"/>
      <w:autoSpaceDN w:val="0"/>
      <w:adjustRightInd w:val="0"/>
      <w:ind w:left="227" w:hanging="227"/>
      <w:jc w:val="both"/>
    </w:pPr>
    <w:rPr>
      <w:rFonts w:cs="Arial"/>
    </w:rPr>
  </w:style>
  <w:style w:type="paragraph" w:customStyle="1" w:styleId="NurText1">
    <w:name w:val="Nur Text1"/>
    <w:basedOn w:val="Standard"/>
    <w:pPr>
      <w:jc w:val="both"/>
    </w:pPr>
  </w:style>
  <w:style w:type="paragraph" w:styleId="Endnotentext">
    <w:name w:val="endnote text"/>
    <w:basedOn w:val="Standard"/>
    <w:semiHidden/>
    <w:pPr>
      <w:overflowPunct w:val="0"/>
      <w:autoSpaceDE w:val="0"/>
      <w:autoSpaceDN w:val="0"/>
      <w:adjustRightInd w:val="0"/>
      <w:ind w:right="141"/>
      <w:jc w:val="both"/>
      <w:textAlignment w:val="baseline"/>
    </w:pPr>
  </w:style>
  <w:style w:type="paragraph" w:customStyle="1" w:styleId="Text">
    <w:name w:val="Text"/>
    <w:basedOn w:val="Textkrper"/>
    <w:pPr>
      <w:ind w:right="0"/>
      <w:jc w:val="center"/>
    </w:pPr>
    <w:rPr>
      <w:noProof/>
      <w:sz w:val="20"/>
    </w:rPr>
  </w:style>
  <w:style w:type="character" w:styleId="Hyperlink">
    <w:name w:val="Hyperlink"/>
    <w:basedOn w:val="Absatz-Standardschriftart"/>
    <w:uiPriority w:val="99"/>
    <w:rPr>
      <w:color w:val="0000FF"/>
      <w:u w:val="single"/>
    </w:rPr>
  </w:style>
  <w:style w:type="character" w:styleId="Seitenzahl">
    <w:name w:val="page number"/>
    <w:basedOn w:val="Absatz-Standardschriftart"/>
  </w:style>
  <w:style w:type="paragraph" w:styleId="Sprechblasentext">
    <w:name w:val="Balloon Text"/>
    <w:basedOn w:val="Standard"/>
    <w:link w:val="SprechblasentextZchn"/>
    <w:rsid w:val="005035EA"/>
    <w:rPr>
      <w:rFonts w:ascii="Tahoma" w:hAnsi="Tahoma" w:cs="Tahoma"/>
      <w:sz w:val="16"/>
      <w:szCs w:val="16"/>
    </w:rPr>
  </w:style>
  <w:style w:type="character" w:customStyle="1" w:styleId="SprechblasentextZchn">
    <w:name w:val="Sprechblasentext Zchn"/>
    <w:basedOn w:val="Absatz-Standardschriftart"/>
    <w:link w:val="Sprechblasentext"/>
    <w:rsid w:val="005035EA"/>
    <w:rPr>
      <w:rFonts w:ascii="Tahoma" w:hAnsi="Tahoma" w:cs="Tahoma"/>
      <w:sz w:val="16"/>
      <w:szCs w:val="16"/>
      <w:lang w:val="fr-CH" w:eastAsia="de-DE"/>
    </w:rPr>
  </w:style>
  <w:style w:type="paragraph" w:styleId="Listenabsatz">
    <w:name w:val="List Paragraph"/>
    <w:basedOn w:val="Standard"/>
    <w:uiPriority w:val="34"/>
    <w:qFormat/>
    <w:rsid w:val="00EF5BDD"/>
    <w:pPr>
      <w:ind w:left="720"/>
      <w:contextualSpacing/>
    </w:pPr>
  </w:style>
  <w:style w:type="paragraph" w:styleId="Funotentext">
    <w:name w:val="footnote text"/>
    <w:basedOn w:val="Standard"/>
    <w:link w:val="FunotentextZchn"/>
    <w:semiHidden/>
    <w:unhideWhenUsed/>
    <w:rsid w:val="00E544EA"/>
    <w:rPr>
      <w:sz w:val="20"/>
    </w:rPr>
  </w:style>
  <w:style w:type="character" w:customStyle="1" w:styleId="FunotentextZchn">
    <w:name w:val="Fußnotentext Zchn"/>
    <w:basedOn w:val="Absatz-Standardschriftart"/>
    <w:link w:val="Funotentext"/>
    <w:semiHidden/>
    <w:rsid w:val="00E544EA"/>
    <w:rPr>
      <w:rFonts w:ascii="Arial" w:hAnsi="Arial"/>
      <w:lang w:val="fr-CH" w:eastAsia="de-DE"/>
    </w:rPr>
  </w:style>
  <w:style w:type="character" w:styleId="Funotenzeichen">
    <w:name w:val="footnote reference"/>
    <w:basedOn w:val="Absatz-Standardschriftart"/>
    <w:semiHidden/>
    <w:unhideWhenUsed/>
    <w:rsid w:val="00E544EA"/>
    <w:rPr>
      <w:vertAlign w:val="superscript"/>
    </w:rPr>
  </w:style>
  <w:style w:type="character" w:styleId="Kommentarzeichen">
    <w:name w:val="annotation reference"/>
    <w:basedOn w:val="Absatz-Standardschriftart"/>
    <w:semiHidden/>
    <w:unhideWhenUsed/>
    <w:rsid w:val="00FA6B8D"/>
    <w:rPr>
      <w:sz w:val="16"/>
      <w:szCs w:val="16"/>
    </w:rPr>
  </w:style>
  <w:style w:type="paragraph" w:styleId="Kommentartext">
    <w:name w:val="annotation text"/>
    <w:basedOn w:val="Standard"/>
    <w:link w:val="KommentartextZchn"/>
    <w:semiHidden/>
    <w:unhideWhenUsed/>
    <w:rsid w:val="00FA6B8D"/>
    <w:rPr>
      <w:sz w:val="20"/>
    </w:rPr>
  </w:style>
  <w:style w:type="character" w:customStyle="1" w:styleId="KommentartextZchn">
    <w:name w:val="Kommentartext Zchn"/>
    <w:basedOn w:val="Absatz-Standardschriftart"/>
    <w:link w:val="Kommentartext"/>
    <w:semiHidden/>
    <w:rsid w:val="00FA6B8D"/>
    <w:rPr>
      <w:rFonts w:ascii="Arial" w:hAnsi="Arial"/>
      <w:lang w:val="fr-CH" w:eastAsia="de-DE"/>
    </w:rPr>
  </w:style>
  <w:style w:type="paragraph" w:styleId="Kommentarthema">
    <w:name w:val="annotation subject"/>
    <w:basedOn w:val="Kommentartext"/>
    <w:next w:val="Kommentartext"/>
    <w:link w:val="KommentarthemaZchn"/>
    <w:semiHidden/>
    <w:unhideWhenUsed/>
    <w:rsid w:val="00FA6B8D"/>
    <w:rPr>
      <w:b/>
      <w:bCs/>
    </w:rPr>
  </w:style>
  <w:style w:type="character" w:customStyle="1" w:styleId="KommentarthemaZchn">
    <w:name w:val="Kommentarthema Zchn"/>
    <w:basedOn w:val="KommentartextZchn"/>
    <w:link w:val="Kommentarthema"/>
    <w:semiHidden/>
    <w:rsid w:val="00FA6B8D"/>
    <w:rPr>
      <w:rFonts w:ascii="Arial" w:hAnsi="Arial"/>
      <w:b/>
      <w:bCs/>
      <w:lang w:val="fr-CH" w:eastAsia="de-DE"/>
    </w:rPr>
  </w:style>
  <w:style w:type="paragraph" w:styleId="berarbeitung">
    <w:name w:val="Revision"/>
    <w:hidden/>
    <w:uiPriority w:val="99"/>
    <w:semiHidden/>
    <w:rsid w:val="00DF6E16"/>
    <w:rPr>
      <w:rFonts w:ascii="Arial" w:hAnsi="Arial"/>
      <w:sz w:val="22"/>
      <w:lang w:eastAsia="de-DE"/>
    </w:rPr>
  </w:style>
  <w:style w:type="paragraph" w:customStyle="1" w:styleId="Default">
    <w:name w:val="Default"/>
    <w:rsid w:val="00C20EEC"/>
    <w:pPr>
      <w:autoSpaceDE w:val="0"/>
      <w:autoSpaceDN w:val="0"/>
      <w:adjustRightInd w:val="0"/>
    </w:pPr>
    <w:rPr>
      <w:rFonts w:ascii="Arial" w:hAnsi="Arial" w:cs="Arial"/>
      <w:color w:val="000000"/>
      <w:sz w:val="24"/>
      <w:szCs w:val="24"/>
    </w:rPr>
  </w:style>
  <w:style w:type="table" w:styleId="Tabellenraster">
    <w:name w:val="Table Grid"/>
    <w:basedOn w:val="NormaleTabelle"/>
    <w:uiPriority w:val="59"/>
    <w:rsid w:val="005A6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5A6D0D"/>
    <w:rPr>
      <w:rFonts w:ascii="Arial" w:hAnsi="Arial"/>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329945">
      <w:bodyDiv w:val="1"/>
      <w:marLeft w:val="0"/>
      <w:marRight w:val="0"/>
      <w:marTop w:val="0"/>
      <w:marBottom w:val="0"/>
      <w:divBdr>
        <w:top w:val="none" w:sz="0" w:space="0" w:color="auto"/>
        <w:left w:val="none" w:sz="0" w:space="0" w:color="auto"/>
        <w:bottom w:val="none" w:sz="0" w:space="0" w:color="auto"/>
        <w:right w:val="none" w:sz="0" w:space="0" w:color="auto"/>
      </w:divBdr>
      <w:divsChild>
        <w:div w:id="845481753">
          <w:marLeft w:val="0"/>
          <w:marRight w:val="0"/>
          <w:marTop w:val="0"/>
          <w:marBottom w:val="0"/>
          <w:divBdr>
            <w:top w:val="none" w:sz="0" w:space="0" w:color="auto"/>
            <w:left w:val="none" w:sz="0" w:space="0" w:color="auto"/>
            <w:bottom w:val="none" w:sz="0" w:space="0" w:color="auto"/>
            <w:right w:val="none" w:sz="0" w:space="0" w:color="auto"/>
          </w:divBdr>
          <w:divsChild>
            <w:div w:id="333649688">
              <w:marLeft w:val="0"/>
              <w:marRight w:val="0"/>
              <w:marTop w:val="0"/>
              <w:marBottom w:val="0"/>
              <w:divBdr>
                <w:top w:val="none" w:sz="0" w:space="0" w:color="auto"/>
                <w:left w:val="none" w:sz="0" w:space="0" w:color="auto"/>
                <w:bottom w:val="none" w:sz="0" w:space="0" w:color="auto"/>
                <w:right w:val="none" w:sz="0" w:space="0" w:color="auto"/>
              </w:divBdr>
            </w:div>
            <w:div w:id="152573264">
              <w:marLeft w:val="0"/>
              <w:marRight w:val="0"/>
              <w:marTop w:val="0"/>
              <w:marBottom w:val="0"/>
              <w:divBdr>
                <w:top w:val="none" w:sz="0" w:space="0" w:color="auto"/>
                <w:left w:val="none" w:sz="0" w:space="0" w:color="auto"/>
                <w:bottom w:val="none" w:sz="0" w:space="0" w:color="auto"/>
                <w:right w:val="none" w:sz="0" w:space="0" w:color="auto"/>
              </w:divBdr>
            </w:div>
          </w:divsChild>
        </w:div>
        <w:div w:id="1239243795">
          <w:marLeft w:val="0"/>
          <w:marRight w:val="0"/>
          <w:marTop w:val="0"/>
          <w:marBottom w:val="0"/>
          <w:divBdr>
            <w:top w:val="none" w:sz="0" w:space="0" w:color="auto"/>
            <w:left w:val="none" w:sz="0" w:space="0" w:color="auto"/>
            <w:bottom w:val="none" w:sz="0" w:space="0" w:color="auto"/>
            <w:right w:val="none" w:sz="0" w:space="0" w:color="auto"/>
          </w:divBdr>
        </w:div>
      </w:divsChild>
    </w:div>
    <w:div w:id="186019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7BA30-28EA-4F80-A2AA-C9619D4BD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3231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Réglement Fonds Réserve de fonctionnement (INC)</vt:lpstr>
    </vt:vector>
  </TitlesOfParts>
  <Company/>
  <LinksUpToDate>false</LinksUpToDate>
  <CharactersWithSpaces>3770</CharactersWithSpaces>
  <SharedDoc>false</SharedDoc>
  <HLinks>
    <vt:vector size="42" baseType="variant">
      <vt:variant>
        <vt:i4>1114174</vt:i4>
      </vt:variant>
      <vt:variant>
        <vt:i4>38</vt:i4>
      </vt:variant>
      <vt:variant>
        <vt:i4>0</vt:i4>
      </vt:variant>
      <vt:variant>
        <vt:i4>5</vt:i4>
      </vt:variant>
      <vt:variant>
        <vt:lpwstr/>
      </vt:variant>
      <vt:variant>
        <vt:lpwstr>_Toc242673978</vt:lpwstr>
      </vt:variant>
      <vt:variant>
        <vt:i4>1114174</vt:i4>
      </vt:variant>
      <vt:variant>
        <vt:i4>32</vt:i4>
      </vt:variant>
      <vt:variant>
        <vt:i4>0</vt:i4>
      </vt:variant>
      <vt:variant>
        <vt:i4>5</vt:i4>
      </vt:variant>
      <vt:variant>
        <vt:lpwstr/>
      </vt:variant>
      <vt:variant>
        <vt:lpwstr>_Toc242673977</vt:lpwstr>
      </vt:variant>
      <vt:variant>
        <vt:i4>1114174</vt:i4>
      </vt:variant>
      <vt:variant>
        <vt:i4>26</vt:i4>
      </vt:variant>
      <vt:variant>
        <vt:i4>0</vt:i4>
      </vt:variant>
      <vt:variant>
        <vt:i4>5</vt:i4>
      </vt:variant>
      <vt:variant>
        <vt:lpwstr/>
      </vt:variant>
      <vt:variant>
        <vt:lpwstr>_Toc242673976</vt:lpwstr>
      </vt:variant>
      <vt:variant>
        <vt:i4>1114174</vt:i4>
      </vt:variant>
      <vt:variant>
        <vt:i4>20</vt:i4>
      </vt:variant>
      <vt:variant>
        <vt:i4>0</vt:i4>
      </vt:variant>
      <vt:variant>
        <vt:i4>5</vt:i4>
      </vt:variant>
      <vt:variant>
        <vt:lpwstr/>
      </vt:variant>
      <vt:variant>
        <vt:lpwstr>_Toc242673975</vt:lpwstr>
      </vt:variant>
      <vt:variant>
        <vt:i4>1114174</vt:i4>
      </vt:variant>
      <vt:variant>
        <vt:i4>14</vt:i4>
      </vt:variant>
      <vt:variant>
        <vt:i4>0</vt:i4>
      </vt:variant>
      <vt:variant>
        <vt:i4>5</vt:i4>
      </vt:variant>
      <vt:variant>
        <vt:lpwstr/>
      </vt:variant>
      <vt:variant>
        <vt:lpwstr>_Toc242673974</vt:lpwstr>
      </vt:variant>
      <vt:variant>
        <vt:i4>1114174</vt:i4>
      </vt:variant>
      <vt:variant>
        <vt:i4>8</vt:i4>
      </vt:variant>
      <vt:variant>
        <vt:i4>0</vt:i4>
      </vt:variant>
      <vt:variant>
        <vt:i4>5</vt:i4>
      </vt:variant>
      <vt:variant>
        <vt:lpwstr/>
      </vt:variant>
      <vt:variant>
        <vt:lpwstr>_Toc242673973</vt:lpwstr>
      </vt:variant>
      <vt:variant>
        <vt:i4>1114174</vt:i4>
      </vt:variant>
      <vt:variant>
        <vt:i4>2</vt:i4>
      </vt:variant>
      <vt:variant>
        <vt:i4>0</vt:i4>
      </vt:variant>
      <vt:variant>
        <vt:i4>5</vt:i4>
      </vt:variant>
      <vt:variant>
        <vt:lpwstr/>
      </vt:variant>
      <vt:variant>
        <vt:lpwstr>_Toc242673972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Réglement Fonds Réserve de fonctionnement (INC)</dc:title>
  <dc:subject>Réglement Fonds Réserve de fonctionnement (INC)</dc:subject>
  <dc:creator>SOCIALBERN</dc:creator>
  <cp:lastModifiedBy>Rolf Birchler</cp:lastModifiedBy>
  <cp:revision>3</cp:revision>
  <cp:lastPrinted>2022-02-02T08:12:00Z</cp:lastPrinted>
  <dcterms:created xsi:type="dcterms:W3CDTF">2022-03-09T08:39:00Z</dcterms:created>
  <dcterms:modified xsi:type="dcterms:W3CDTF">2022-03-09T09:06:00Z</dcterms:modified>
</cp:coreProperties>
</file>