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B6C46" w14:textId="48BD03BA" w:rsidR="00534A85" w:rsidRPr="00204855" w:rsidRDefault="00C65F0D" w:rsidP="00C55596">
      <w:pPr>
        <w:tabs>
          <w:tab w:val="left" w:pos="7230"/>
        </w:tabs>
        <w:rPr>
          <w:rFonts w:cs="Arial"/>
          <w:b/>
          <w:sz w:val="24"/>
          <w:szCs w:val="24"/>
          <w:lang w:val="fr-CH"/>
        </w:rPr>
      </w:pPr>
      <w:r w:rsidRPr="00204855">
        <w:rPr>
          <w:rFonts w:cs="Arial"/>
          <w:b/>
          <w:sz w:val="24"/>
          <w:szCs w:val="24"/>
          <w:highlight w:val="cyan"/>
          <w:lang w:val="fr-CH"/>
        </w:rPr>
        <w:t>LOGO de l’institution XXX</w:t>
      </w:r>
      <w:r w:rsidRPr="00204855">
        <w:rPr>
          <w:rFonts w:cs="Arial"/>
          <w:b/>
          <w:sz w:val="24"/>
          <w:szCs w:val="24"/>
          <w:lang w:val="fr-CH"/>
        </w:rPr>
        <w:tab/>
      </w:r>
      <w:r w:rsidR="00C55596" w:rsidRPr="00204855">
        <w:rPr>
          <w:rFonts w:cs="Arial"/>
          <w:b/>
          <w:i/>
          <w:iCs/>
          <w:sz w:val="24"/>
          <w:szCs w:val="24"/>
          <w:highlight w:val="yellow"/>
          <w:u w:val="single"/>
          <w:lang w:val="fr-CH"/>
        </w:rPr>
        <w:t>Mo</w:t>
      </w:r>
      <w:r w:rsidRPr="00204855">
        <w:rPr>
          <w:rFonts w:cs="Arial"/>
          <w:b/>
          <w:i/>
          <w:iCs/>
          <w:sz w:val="24"/>
          <w:szCs w:val="24"/>
          <w:highlight w:val="yellow"/>
          <w:u w:val="single"/>
          <w:lang w:val="fr-CH"/>
        </w:rPr>
        <w:t>dèle</w:t>
      </w:r>
    </w:p>
    <w:p w14:paraId="06B5A541" w14:textId="062EF82E" w:rsidR="00534A85" w:rsidRPr="00204855" w:rsidRDefault="00534A85" w:rsidP="00534A85">
      <w:pPr>
        <w:tabs>
          <w:tab w:val="left" w:pos="8647"/>
        </w:tabs>
        <w:rPr>
          <w:rFonts w:cs="Arial"/>
          <w:b/>
          <w:sz w:val="24"/>
          <w:szCs w:val="24"/>
          <w:lang w:val="fr-CH"/>
        </w:rPr>
      </w:pPr>
    </w:p>
    <w:p w14:paraId="52F3B8E1" w14:textId="77777777" w:rsidR="00DB6F49" w:rsidRPr="00204855" w:rsidRDefault="00DB6F49" w:rsidP="00534A85">
      <w:pPr>
        <w:tabs>
          <w:tab w:val="left" w:pos="8647"/>
        </w:tabs>
        <w:rPr>
          <w:rFonts w:cs="Arial"/>
          <w:b/>
          <w:sz w:val="24"/>
          <w:szCs w:val="24"/>
          <w:lang w:val="fr-CH"/>
        </w:rPr>
      </w:pPr>
    </w:p>
    <w:p w14:paraId="3B60D598" w14:textId="35C68E55" w:rsidR="00C65F0D" w:rsidRPr="00204855" w:rsidRDefault="00C65F0D" w:rsidP="00534A85">
      <w:pPr>
        <w:tabs>
          <w:tab w:val="left" w:pos="8647"/>
        </w:tabs>
        <w:rPr>
          <w:rFonts w:cs="Arial"/>
          <w:b/>
          <w:sz w:val="24"/>
          <w:szCs w:val="24"/>
          <w:lang w:val="fr-CH"/>
        </w:rPr>
      </w:pPr>
      <w:r w:rsidRPr="00204855">
        <w:rPr>
          <w:rFonts w:cs="Arial"/>
          <w:b/>
          <w:sz w:val="24"/>
          <w:szCs w:val="24"/>
          <w:lang w:val="fr-CH"/>
        </w:rPr>
        <w:t xml:space="preserve">Règlement du Fonds d'infrastructure </w:t>
      </w:r>
      <w:r w:rsidR="000A6C94" w:rsidRPr="00204855">
        <w:rPr>
          <w:rFonts w:cs="Arial"/>
          <w:b/>
          <w:sz w:val="24"/>
          <w:szCs w:val="24"/>
          <w:lang w:val="fr-CH"/>
        </w:rPr>
        <w:t xml:space="preserve">selon la </w:t>
      </w:r>
      <w:r w:rsidR="009A4E3E" w:rsidRPr="00204855">
        <w:rPr>
          <w:rFonts w:cs="Arial"/>
          <w:b/>
          <w:sz w:val="24"/>
          <w:szCs w:val="24"/>
          <w:lang w:val="fr-CH"/>
        </w:rPr>
        <w:t>LPEP</w:t>
      </w:r>
    </w:p>
    <w:p w14:paraId="0831349E" w14:textId="2A99DBE7" w:rsidR="00534A85" w:rsidRPr="00204855" w:rsidRDefault="00C65F0D" w:rsidP="00534A85">
      <w:pPr>
        <w:tabs>
          <w:tab w:val="left" w:pos="8647"/>
        </w:tabs>
        <w:rPr>
          <w:rFonts w:cs="Arial"/>
          <w:b/>
          <w:sz w:val="24"/>
          <w:szCs w:val="24"/>
          <w:lang w:val="fr-CH"/>
        </w:rPr>
      </w:pPr>
      <w:r w:rsidRPr="00204855">
        <w:rPr>
          <w:rFonts w:cs="Arial"/>
          <w:i/>
          <w:iCs/>
          <w:sz w:val="24"/>
          <w:szCs w:val="24"/>
          <w:lang w:val="fr-CH"/>
        </w:rPr>
        <w:t>(Règlement relatif à la gestion et à l'utilisation des parts d'infrastructure provenant des forfaits cantonaux pour les services stationnaires de développement et de protection de l'enfance)</w:t>
      </w:r>
    </w:p>
    <w:p w14:paraId="62BC410D" w14:textId="03F3C3FF" w:rsidR="00534A85" w:rsidRPr="00204855" w:rsidRDefault="00534A85" w:rsidP="00534A85">
      <w:pPr>
        <w:tabs>
          <w:tab w:val="left" w:pos="8647"/>
        </w:tabs>
        <w:rPr>
          <w:rFonts w:cs="Arial"/>
          <w:b/>
          <w:sz w:val="23"/>
          <w:szCs w:val="23"/>
          <w:lang w:val="fr-CH"/>
        </w:rPr>
      </w:pPr>
    </w:p>
    <w:p w14:paraId="39B2CE9A" w14:textId="77777777" w:rsidR="00C55596" w:rsidRPr="00204855" w:rsidRDefault="00C55596" w:rsidP="00534A85">
      <w:pPr>
        <w:tabs>
          <w:tab w:val="left" w:pos="8647"/>
        </w:tabs>
        <w:rPr>
          <w:rFonts w:cs="Arial"/>
          <w:b/>
          <w:sz w:val="23"/>
          <w:szCs w:val="23"/>
          <w:lang w:val="fr-CH"/>
        </w:rPr>
      </w:pPr>
    </w:p>
    <w:p w14:paraId="2598E854" w14:textId="416F444E" w:rsidR="00534A85" w:rsidRPr="00204855" w:rsidRDefault="00C55596" w:rsidP="00C55596">
      <w:pPr>
        <w:pStyle w:val="Listenabsatz"/>
        <w:tabs>
          <w:tab w:val="left" w:pos="8647"/>
        </w:tabs>
        <w:ind w:left="0"/>
        <w:rPr>
          <w:rFonts w:cs="Arial"/>
          <w:b/>
          <w:kern w:val="28"/>
          <w:sz w:val="20"/>
          <w:lang w:val="fr-CH"/>
        </w:rPr>
      </w:pPr>
      <w:r w:rsidRPr="00204855">
        <w:rPr>
          <w:rFonts w:cs="Arial"/>
          <w:b/>
          <w:kern w:val="28"/>
          <w:sz w:val="20"/>
          <w:lang w:val="fr-CH"/>
        </w:rPr>
        <w:t xml:space="preserve">1. </w:t>
      </w:r>
      <w:r w:rsidR="00C65F0D" w:rsidRPr="00204855">
        <w:rPr>
          <w:rFonts w:cs="Arial"/>
          <w:b/>
          <w:kern w:val="28"/>
          <w:sz w:val="20"/>
          <w:lang w:val="fr-CH"/>
        </w:rPr>
        <w:t>Objet du règlement</w:t>
      </w:r>
    </w:p>
    <w:p w14:paraId="289A2D2E" w14:textId="77777777" w:rsidR="00C65F0D" w:rsidRPr="00204855" w:rsidRDefault="00C65F0D" w:rsidP="00C65F0D">
      <w:pPr>
        <w:tabs>
          <w:tab w:val="left" w:pos="8647"/>
        </w:tabs>
        <w:rPr>
          <w:rFonts w:cs="Arial"/>
          <w:kern w:val="28"/>
          <w:sz w:val="20"/>
          <w:lang w:val="fr-CH"/>
        </w:rPr>
      </w:pPr>
    </w:p>
    <w:p w14:paraId="761599C8" w14:textId="3E2FA370" w:rsidR="00EF5BD6" w:rsidRPr="00204855" w:rsidRDefault="00746124" w:rsidP="00EF5BD6">
      <w:pPr>
        <w:ind w:right="-1"/>
        <w:jc w:val="both"/>
        <w:rPr>
          <w:rFonts w:cs="Arial"/>
          <w:sz w:val="20"/>
          <w:lang w:val="fr-CH"/>
        </w:rPr>
      </w:pPr>
      <w:r w:rsidRPr="00204855">
        <w:rPr>
          <w:rFonts w:cs="Arial"/>
          <w:sz w:val="20"/>
          <w:lang w:val="fr-CH"/>
        </w:rPr>
        <w:t>1</w:t>
      </w:r>
      <w:r w:rsidR="00DB6F49" w:rsidRPr="00204855">
        <w:rPr>
          <w:rFonts w:cs="Arial"/>
          <w:sz w:val="20"/>
          <w:lang w:val="fr-CH"/>
        </w:rPr>
        <w:t>.1</w:t>
      </w:r>
      <w:r w:rsidRPr="00204855">
        <w:rPr>
          <w:rFonts w:cs="Arial"/>
          <w:sz w:val="20"/>
          <w:lang w:val="fr-CH"/>
        </w:rPr>
        <w:t xml:space="preserve"> </w:t>
      </w:r>
      <w:r w:rsidR="00C65F0D" w:rsidRPr="00204855">
        <w:rPr>
          <w:rFonts w:cs="Arial"/>
          <w:sz w:val="20"/>
          <w:lang w:val="fr-CH"/>
        </w:rPr>
        <w:t>Selon la législation cantonale, les prestations stationnaires fournies par les institutions d'aide et de protection de l'enfance ayant des besoins particuliers sont indemnisées par des forfaits basés sur des contrats de prestations. Ils contiennent une part fixe pour le financement de l'infrastructure. Cett</w:t>
      </w:r>
      <w:r w:rsidR="00BD7E08" w:rsidRPr="00204855">
        <w:rPr>
          <w:rFonts w:cs="Arial"/>
          <w:sz w:val="20"/>
          <w:lang w:val="fr-CH"/>
        </w:rPr>
        <w:t>e</w:t>
      </w:r>
      <w:r w:rsidR="00C65F0D" w:rsidRPr="00204855">
        <w:rPr>
          <w:rFonts w:cs="Arial"/>
          <w:sz w:val="20"/>
          <w:lang w:val="fr-CH"/>
        </w:rPr>
        <w:t xml:space="preserve"> part doit être utilisée dans un but précis</w:t>
      </w:r>
      <w:r w:rsidR="00FD29E0" w:rsidRPr="00204855">
        <w:rPr>
          <w:rFonts w:cs="Arial"/>
          <w:sz w:val="20"/>
          <w:lang w:val="fr-CH"/>
        </w:rPr>
        <w:t>.</w:t>
      </w:r>
    </w:p>
    <w:p w14:paraId="35B9817F" w14:textId="77777777" w:rsidR="00EF5BD6" w:rsidRPr="00204855" w:rsidRDefault="00EF5BD6" w:rsidP="00EF5BD6">
      <w:pPr>
        <w:ind w:right="-1"/>
        <w:jc w:val="both"/>
        <w:rPr>
          <w:rFonts w:cs="Arial"/>
          <w:sz w:val="20"/>
          <w:lang w:val="fr-CH"/>
        </w:rPr>
      </w:pPr>
    </w:p>
    <w:p w14:paraId="28A9B816" w14:textId="70C4E775" w:rsidR="00534A85" w:rsidRPr="00204855" w:rsidRDefault="00DB6F49" w:rsidP="00EF5BD6">
      <w:pPr>
        <w:ind w:right="-1"/>
        <w:jc w:val="both"/>
        <w:rPr>
          <w:rFonts w:cs="Arial"/>
          <w:sz w:val="20"/>
          <w:lang w:val="fr-CH"/>
        </w:rPr>
      </w:pPr>
      <w:r w:rsidRPr="00204855">
        <w:rPr>
          <w:rFonts w:cs="Arial"/>
          <w:sz w:val="20"/>
          <w:lang w:val="fr-CH"/>
        </w:rPr>
        <w:t>1.</w:t>
      </w:r>
      <w:r w:rsidR="00746124" w:rsidRPr="00204855">
        <w:rPr>
          <w:rFonts w:cs="Arial"/>
          <w:sz w:val="20"/>
          <w:lang w:val="fr-CH"/>
        </w:rPr>
        <w:t xml:space="preserve">2 </w:t>
      </w:r>
      <w:r w:rsidR="00C65F0D" w:rsidRPr="00204855">
        <w:rPr>
          <w:rFonts w:cs="Arial"/>
          <w:sz w:val="20"/>
          <w:lang w:val="fr-CH"/>
        </w:rPr>
        <w:t xml:space="preserve">Le présent règlement régit l'administration et l'utilisation des fonds mis à disposition de </w:t>
      </w:r>
      <w:r w:rsidR="00C65F0D" w:rsidRPr="00204855">
        <w:rPr>
          <w:rFonts w:cs="Arial"/>
          <w:sz w:val="20"/>
          <w:highlight w:val="yellow"/>
          <w:lang w:val="fr-CH"/>
        </w:rPr>
        <w:t>l'</w:t>
      </w:r>
      <w:r w:rsidR="00C55596" w:rsidRPr="00204855">
        <w:rPr>
          <w:rFonts w:cs="Arial"/>
          <w:sz w:val="20"/>
          <w:highlight w:val="yellow"/>
          <w:lang w:val="fr-CH"/>
        </w:rPr>
        <w:t>i</w:t>
      </w:r>
      <w:r w:rsidR="00C65F0D" w:rsidRPr="00204855">
        <w:rPr>
          <w:rFonts w:cs="Arial"/>
          <w:sz w:val="20"/>
          <w:highlight w:val="yellow"/>
          <w:lang w:val="fr-CH"/>
        </w:rPr>
        <w:t>nstitution XXX</w:t>
      </w:r>
      <w:r w:rsidR="00C65F0D" w:rsidRPr="00204855">
        <w:rPr>
          <w:rFonts w:cs="Arial"/>
          <w:sz w:val="20"/>
          <w:lang w:val="fr-CH"/>
        </w:rPr>
        <w:t xml:space="preserve"> par le canton de Berne pour le financement de son infrastructure de prestations stationnaires conformément à la </w:t>
      </w:r>
      <w:r w:rsidR="009A4E3E" w:rsidRPr="00204855">
        <w:rPr>
          <w:rFonts w:cs="Arial"/>
          <w:sz w:val="20"/>
          <w:lang w:val="fr-CH"/>
        </w:rPr>
        <w:t xml:space="preserve">loi sur les prestations particulières d’encouragement et de protection destinées aux enfants </w:t>
      </w:r>
      <w:r w:rsidR="00C65F0D" w:rsidRPr="00204855">
        <w:rPr>
          <w:rFonts w:cs="Arial"/>
          <w:sz w:val="20"/>
          <w:lang w:val="fr-CH"/>
        </w:rPr>
        <w:t>du 3 décembre 2020 (</w:t>
      </w:r>
      <w:r w:rsidR="009A4E3E" w:rsidRPr="00204855">
        <w:rPr>
          <w:rFonts w:cs="Arial"/>
          <w:sz w:val="20"/>
          <w:lang w:val="fr-CH"/>
        </w:rPr>
        <w:t>LPEP</w:t>
      </w:r>
      <w:r w:rsidR="00C65F0D" w:rsidRPr="00204855">
        <w:rPr>
          <w:rFonts w:cs="Arial"/>
          <w:sz w:val="20"/>
          <w:lang w:val="fr-CH"/>
        </w:rPr>
        <w:t>).</w:t>
      </w:r>
    </w:p>
    <w:p w14:paraId="292CCBB8" w14:textId="77777777" w:rsidR="00F25DC1" w:rsidRPr="00204855" w:rsidRDefault="00F25DC1" w:rsidP="00DB6F49">
      <w:pPr>
        <w:ind w:right="-1"/>
        <w:jc w:val="both"/>
        <w:rPr>
          <w:rFonts w:cs="Arial"/>
          <w:sz w:val="20"/>
          <w:lang w:val="fr-CH"/>
        </w:rPr>
      </w:pPr>
    </w:p>
    <w:p w14:paraId="52520339" w14:textId="77777777" w:rsidR="00534A85" w:rsidRPr="00204855" w:rsidRDefault="00534A85" w:rsidP="00534A85">
      <w:pPr>
        <w:ind w:right="-1"/>
        <w:jc w:val="both"/>
        <w:rPr>
          <w:rFonts w:cs="Arial"/>
          <w:sz w:val="20"/>
          <w:lang w:val="fr-CH"/>
        </w:rPr>
      </w:pPr>
    </w:p>
    <w:p w14:paraId="2F5273D4" w14:textId="1F9155D9" w:rsidR="00534A85" w:rsidRPr="00204855" w:rsidRDefault="00534A85" w:rsidP="00534A85">
      <w:pPr>
        <w:ind w:right="-1"/>
        <w:jc w:val="both"/>
        <w:rPr>
          <w:rFonts w:cs="Arial"/>
          <w:b/>
          <w:sz w:val="20"/>
          <w:lang w:val="fr-CH"/>
        </w:rPr>
      </w:pPr>
      <w:r w:rsidRPr="00204855">
        <w:rPr>
          <w:rFonts w:cs="Arial"/>
          <w:b/>
          <w:sz w:val="20"/>
          <w:lang w:val="fr-CH"/>
        </w:rPr>
        <w:t xml:space="preserve">2. </w:t>
      </w:r>
      <w:r w:rsidR="00C65F0D" w:rsidRPr="00204855">
        <w:rPr>
          <w:rFonts w:cs="Arial"/>
          <w:b/>
          <w:sz w:val="20"/>
          <w:lang w:val="fr-CH"/>
        </w:rPr>
        <w:t>Affectation des fonds</w:t>
      </w:r>
    </w:p>
    <w:p w14:paraId="093268DB" w14:textId="77777777" w:rsidR="00534A85" w:rsidRPr="00204855" w:rsidRDefault="00534A85" w:rsidP="00534A85">
      <w:pPr>
        <w:ind w:right="-1"/>
        <w:jc w:val="both"/>
        <w:rPr>
          <w:rFonts w:cs="Arial"/>
          <w:sz w:val="20"/>
          <w:lang w:val="fr-CH"/>
        </w:rPr>
      </w:pPr>
    </w:p>
    <w:p w14:paraId="6DED4F0E" w14:textId="34D4C7D4" w:rsidR="00FD29E0" w:rsidRPr="00204855" w:rsidRDefault="00DB6F49" w:rsidP="00FD29E0">
      <w:pPr>
        <w:autoSpaceDE w:val="0"/>
        <w:autoSpaceDN w:val="0"/>
        <w:adjustRightInd w:val="0"/>
        <w:rPr>
          <w:rFonts w:cs="Arial"/>
          <w:sz w:val="20"/>
          <w:lang w:val="fr-CH"/>
        </w:rPr>
      </w:pPr>
      <w:r w:rsidRPr="00204855">
        <w:rPr>
          <w:rFonts w:cs="Arial"/>
          <w:sz w:val="20"/>
          <w:lang w:val="fr-CH"/>
        </w:rPr>
        <w:t>2.</w:t>
      </w:r>
      <w:r w:rsidR="00746124" w:rsidRPr="00204855">
        <w:rPr>
          <w:rFonts w:cs="Arial"/>
          <w:sz w:val="20"/>
          <w:lang w:val="fr-CH"/>
        </w:rPr>
        <w:t xml:space="preserve">1 </w:t>
      </w:r>
      <w:r w:rsidR="00C65F0D" w:rsidRPr="00204855">
        <w:rPr>
          <w:rFonts w:cs="Arial"/>
          <w:sz w:val="20"/>
          <w:lang w:val="fr-CH"/>
        </w:rPr>
        <w:t xml:space="preserve">La partie infrastructure du paiement forfaitaire doit être affectée au fonds </w:t>
      </w:r>
      <w:r w:rsidR="00C55596" w:rsidRPr="00204855">
        <w:rPr>
          <w:rFonts w:cs="Arial"/>
          <w:sz w:val="20"/>
          <w:lang w:val="fr-CH"/>
        </w:rPr>
        <w:t>« </w:t>
      </w:r>
      <w:r w:rsidR="00C65F0D" w:rsidRPr="00204855">
        <w:rPr>
          <w:rFonts w:cs="Arial"/>
          <w:sz w:val="20"/>
          <w:lang w:val="fr-CH"/>
        </w:rPr>
        <w:t xml:space="preserve">Infrastructure </w:t>
      </w:r>
      <w:r w:rsidR="000A6C94" w:rsidRPr="00204855">
        <w:rPr>
          <w:rFonts w:cs="Arial"/>
          <w:sz w:val="20"/>
          <w:lang w:val="fr-CH"/>
        </w:rPr>
        <w:t>selon</w:t>
      </w:r>
      <w:r w:rsidR="009E1C53" w:rsidRPr="00204855">
        <w:rPr>
          <w:rFonts w:cs="Arial"/>
          <w:sz w:val="20"/>
          <w:lang w:val="fr-CH"/>
        </w:rPr>
        <w:t xml:space="preserve"> </w:t>
      </w:r>
      <w:r w:rsidR="000A6C94" w:rsidRPr="00204855">
        <w:rPr>
          <w:rFonts w:cs="Arial"/>
          <w:sz w:val="20"/>
          <w:lang w:val="fr-CH"/>
        </w:rPr>
        <w:t xml:space="preserve">la </w:t>
      </w:r>
      <w:r w:rsidR="007A5BB7" w:rsidRPr="00204855">
        <w:rPr>
          <w:rFonts w:cs="Arial"/>
          <w:sz w:val="20"/>
          <w:lang w:val="fr-CH"/>
        </w:rPr>
        <w:t>LPEP </w:t>
      </w:r>
      <w:r w:rsidR="00C65F0D" w:rsidRPr="00204855">
        <w:rPr>
          <w:rFonts w:cs="Arial"/>
          <w:sz w:val="20"/>
          <w:lang w:val="fr-CH"/>
        </w:rPr>
        <w:t>» (</w:t>
      </w:r>
      <w:r w:rsidR="00C55596" w:rsidRPr="00204855">
        <w:rPr>
          <w:rFonts w:cs="Arial"/>
          <w:sz w:val="20"/>
          <w:lang w:val="fr-CH"/>
        </w:rPr>
        <w:t>f</w:t>
      </w:r>
      <w:r w:rsidR="00C65F0D" w:rsidRPr="00204855">
        <w:rPr>
          <w:rFonts w:cs="Arial"/>
          <w:sz w:val="20"/>
          <w:lang w:val="fr-CH"/>
        </w:rPr>
        <w:t>onds) et utilisée conformément à son objet.</w:t>
      </w:r>
    </w:p>
    <w:p w14:paraId="43FEC073" w14:textId="77777777" w:rsidR="00274D90" w:rsidRPr="00204855" w:rsidRDefault="00274D90" w:rsidP="00534A85">
      <w:pPr>
        <w:ind w:right="-1"/>
        <w:jc w:val="both"/>
        <w:rPr>
          <w:rFonts w:cs="Arial"/>
          <w:sz w:val="20"/>
          <w:lang w:val="fr-CH"/>
        </w:rPr>
      </w:pPr>
    </w:p>
    <w:p w14:paraId="1F29D911" w14:textId="45F23125" w:rsidR="00B503BA" w:rsidRPr="00204855" w:rsidRDefault="00DB6F49" w:rsidP="00B503BA">
      <w:pPr>
        <w:ind w:right="-1"/>
        <w:jc w:val="both"/>
        <w:rPr>
          <w:rFonts w:cs="Arial"/>
          <w:sz w:val="20"/>
          <w:lang w:val="fr-CH"/>
        </w:rPr>
      </w:pPr>
      <w:r w:rsidRPr="00204855">
        <w:rPr>
          <w:rFonts w:cs="Arial"/>
          <w:sz w:val="20"/>
          <w:lang w:val="fr-CH"/>
        </w:rPr>
        <w:t>2.</w:t>
      </w:r>
      <w:r w:rsidR="00746124" w:rsidRPr="00204855">
        <w:rPr>
          <w:rFonts w:cs="Arial"/>
          <w:sz w:val="20"/>
          <w:lang w:val="fr-CH"/>
        </w:rPr>
        <w:t xml:space="preserve">2 </w:t>
      </w:r>
      <w:r w:rsidR="00C65F0D" w:rsidRPr="00204855">
        <w:rPr>
          <w:rFonts w:cs="Arial"/>
          <w:sz w:val="20"/>
          <w:lang w:val="fr-CH"/>
        </w:rPr>
        <w:t>Les contributions d'investissement soumises à remboursement doivent être comptabilisées comme des dettes à long terme dans les capitaux empruntés du groupe 250. Le montant dû l'année suivante doit être transféré dans les passifs courants du groupe 220</w:t>
      </w:r>
      <w:r w:rsidR="000A6C94" w:rsidRPr="00204855">
        <w:rPr>
          <w:rFonts w:cs="Arial"/>
          <w:sz w:val="20"/>
          <w:lang w:val="fr-CH"/>
        </w:rPr>
        <w:t xml:space="preserve"> </w:t>
      </w:r>
      <w:r w:rsidR="000A6C94" w:rsidRPr="00204855">
        <w:rPr>
          <w:rFonts w:cs="Arial"/>
          <w:sz w:val="20"/>
          <w:lang w:val="fr-CH" w:eastAsia="de-CH"/>
        </w:rPr>
        <w:t>en tant qu’engagements à court terme.</w:t>
      </w:r>
    </w:p>
    <w:p w14:paraId="23791A20" w14:textId="77777777" w:rsidR="00B503BA" w:rsidRPr="00204855" w:rsidRDefault="00B503BA" w:rsidP="00534A85">
      <w:pPr>
        <w:ind w:right="-1"/>
        <w:jc w:val="both"/>
        <w:rPr>
          <w:rFonts w:cs="Arial"/>
          <w:sz w:val="20"/>
          <w:lang w:val="fr-CH"/>
        </w:rPr>
      </w:pPr>
    </w:p>
    <w:p w14:paraId="77EBF2E5" w14:textId="77777777" w:rsidR="00274D90" w:rsidRPr="00204855" w:rsidRDefault="00274D90" w:rsidP="00534A85">
      <w:pPr>
        <w:ind w:right="-1"/>
        <w:jc w:val="both"/>
        <w:rPr>
          <w:rFonts w:cs="Arial"/>
          <w:sz w:val="20"/>
          <w:lang w:val="fr-CH"/>
        </w:rPr>
      </w:pPr>
    </w:p>
    <w:p w14:paraId="31D24104" w14:textId="04635C4B" w:rsidR="00274D90" w:rsidRPr="00204855" w:rsidRDefault="009C7005" w:rsidP="00534A85">
      <w:pPr>
        <w:ind w:right="-1"/>
        <w:jc w:val="both"/>
        <w:rPr>
          <w:rFonts w:cs="Arial"/>
          <w:b/>
          <w:sz w:val="20"/>
          <w:lang w:val="fr-CH"/>
        </w:rPr>
      </w:pPr>
      <w:r w:rsidRPr="00204855">
        <w:rPr>
          <w:rFonts w:cs="Arial"/>
          <w:b/>
          <w:sz w:val="20"/>
          <w:lang w:val="fr-CH"/>
        </w:rPr>
        <w:t xml:space="preserve">3. </w:t>
      </w:r>
      <w:r w:rsidR="00C65F0D" w:rsidRPr="00204855">
        <w:rPr>
          <w:rFonts w:cs="Arial"/>
          <w:b/>
          <w:sz w:val="20"/>
          <w:lang w:val="fr-CH"/>
        </w:rPr>
        <w:t>Utilisation des fonds alloués</w:t>
      </w:r>
    </w:p>
    <w:p w14:paraId="6A14F9D0" w14:textId="77777777" w:rsidR="009C7005" w:rsidRPr="00204855" w:rsidRDefault="009C7005" w:rsidP="00534A85">
      <w:pPr>
        <w:ind w:right="-1"/>
        <w:jc w:val="both"/>
        <w:rPr>
          <w:rFonts w:cs="Arial"/>
          <w:sz w:val="20"/>
          <w:lang w:val="fr-CH"/>
        </w:rPr>
      </w:pPr>
    </w:p>
    <w:p w14:paraId="4F8B302F" w14:textId="112F0AE3" w:rsidR="009E1C53" w:rsidRPr="00204855" w:rsidRDefault="00DB6F49" w:rsidP="009E1C53">
      <w:pPr>
        <w:autoSpaceDE w:val="0"/>
        <w:autoSpaceDN w:val="0"/>
        <w:adjustRightInd w:val="0"/>
        <w:rPr>
          <w:rFonts w:cs="Arial"/>
          <w:sz w:val="20"/>
          <w:lang w:val="fr-CH" w:eastAsia="de-CH"/>
        </w:rPr>
      </w:pPr>
      <w:r w:rsidRPr="00204855">
        <w:rPr>
          <w:rFonts w:cs="Arial"/>
          <w:sz w:val="20"/>
          <w:lang w:val="fr-CH" w:eastAsia="de-CH"/>
        </w:rPr>
        <w:t>3.</w:t>
      </w:r>
      <w:r w:rsidR="00E544EA" w:rsidRPr="00204855">
        <w:rPr>
          <w:rFonts w:cs="Arial"/>
          <w:sz w:val="20"/>
          <w:lang w:val="fr-CH" w:eastAsia="de-CH"/>
        </w:rPr>
        <w:t xml:space="preserve">1 </w:t>
      </w:r>
      <w:r w:rsidR="009E1C53" w:rsidRPr="00204855">
        <w:rPr>
          <w:rFonts w:cs="Arial"/>
          <w:sz w:val="20"/>
          <w:lang w:val="fr-CH" w:eastAsia="de-CH"/>
        </w:rPr>
        <w:t>Les participations aux frais d’infrastructure sont à destiner uniquement à l’acquisition</w:t>
      </w:r>
      <w:r w:rsidR="009E1C53" w:rsidRPr="00204855">
        <w:rPr>
          <w:rFonts w:cs="Arial"/>
          <w:sz w:val="20"/>
          <w:lang w:val="fr-CH" w:eastAsia="de-CH"/>
        </w:rPr>
        <w:t xml:space="preserve"> </w:t>
      </w:r>
      <w:r w:rsidR="009E1C53" w:rsidRPr="00204855">
        <w:rPr>
          <w:rFonts w:cs="Arial"/>
          <w:sz w:val="20"/>
          <w:lang w:val="fr-CH" w:eastAsia="de-CH"/>
        </w:rPr>
        <w:t>ou au remplacement des installations ainsi qu’à la couverture des dépenses et frais</w:t>
      </w:r>
      <w:r w:rsidR="009E1C53" w:rsidRPr="00204855">
        <w:rPr>
          <w:rFonts w:cs="Arial"/>
          <w:sz w:val="20"/>
          <w:lang w:val="fr-CH" w:eastAsia="de-CH"/>
        </w:rPr>
        <w:t xml:space="preserve"> </w:t>
      </w:r>
      <w:r w:rsidR="009E1C53" w:rsidRPr="00204855">
        <w:rPr>
          <w:rFonts w:cs="Arial"/>
          <w:sz w:val="20"/>
          <w:lang w:val="fr-CH" w:eastAsia="de-CH"/>
        </w:rPr>
        <w:t>engagés pour des investissements (intérêts et amortissements) dans les installations</w:t>
      </w:r>
      <w:r w:rsidR="009E1C53" w:rsidRPr="00204855">
        <w:rPr>
          <w:rFonts w:cs="Arial"/>
          <w:sz w:val="20"/>
          <w:lang w:val="fr-CH" w:eastAsia="de-CH"/>
        </w:rPr>
        <w:t xml:space="preserve"> </w:t>
      </w:r>
      <w:r w:rsidR="009E1C53" w:rsidRPr="00204855">
        <w:rPr>
          <w:rFonts w:cs="Arial"/>
          <w:sz w:val="20"/>
          <w:lang w:val="fr-CH" w:eastAsia="de-CH"/>
        </w:rPr>
        <w:t>ci-dessous ou pour en couvrir les frais de location:</w:t>
      </w:r>
    </w:p>
    <w:p w14:paraId="29C44B66" w14:textId="77777777" w:rsidR="009E1C53" w:rsidRPr="00204855" w:rsidRDefault="009E1C53" w:rsidP="009E1C53">
      <w:pPr>
        <w:pStyle w:val="Listenabsatz"/>
        <w:numPr>
          <w:ilvl w:val="0"/>
          <w:numId w:val="44"/>
        </w:numPr>
        <w:autoSpaceDE w:val="0"/>
        <w:autoSpaceDN w:val="0"/>
        <w:adjustRightInd w:val="0"/>
        <w:rPr>
          <w:rFonts w:cs="Arial"/>
          <w:sz w:val="20"/>
          <w:lang w:val="fr-CH" w:eastAsia="de-CH"/>
        </w:rPr>
      </w:pPr>
      <w:r w:rsidRPr="00204855">
        <w:rPr>
          <w:rFonts w:cs="Arial"/>
          <w:sz w:val="20"/>
          <w:lang w:val="fr-CH" w:eastAsia="de-CH"/>
        </w:rPr>
        <w:t xml:space="preserve">‒ structure, gros </w:t>
      </w:r>
      <w:proofErr w:type="spellStart"/>
      <w:r w:rsidRPr="00204855">
        <w:rPr>
          <w:rFonts w:cs="Arial"/>
          <w:sz w:val="20"/>
          <w:lang w:val="fr-CH" w:eastAsia="de-CH"/>
        </w:rPr>
        <w:t>oeuvre</w:t>
      </w:r>
      <w:proofErr w:type="spellEnd"/>
      <w:r w:rsidRPr="00204855">
        <w:rPr>
          <w:rFonts w:cs="Arial"/>
          <w:sz w:val="20"/>
          <w:lang w:val="fr-CH" w:eastAsia="de-CH"/>
        </w:rPr>
        <w:t>, enveloppe (selon les libellés 1 à 8 CFC),</w:t>
      </w:r>
    </w:p>
    <w:p w14:paraId="6A8D571A" w14:textId="77777777" w:rsidR="009E1C53" w:rsidRPr="00204855" w:rsidRDefault="009E1C53" w:rsidP="009E1C53">
      <w:pPr>
        <w:pStyle w:val="Listenabsatz"/>
        <w:numPr>
          <w:ilvl w:val="0"/>
          <w:numId w:val="44"/>
        </w:numPr>
        <w:autoSpaceDE w:val="0"/>
        <w:autoSpaceDN w:val="0"/>
        <w:adjustRightInd w:val="0"/>
        <w:rPr>
          <w:rFonts w:cs="Arial"/>
          <w:sz w:val="20"/>
          <w:lang w:val="fr-CH" w:eastAsia="de-CH"/>
        </w:rPr>
      </w:pPr>
      <w:r w:rsidRPr="00204855">
        <w:rPr>
          <w:rFonts w:cs="Arial"/>
          <w:sz w:val="20"/>
          <w:lang w:val="fr-CH" w:eastAsia="de-CH"/>
        </w:rPr>
        <w:t>‒ technique du bâtiment (selon les libellés 1 à 8 CFC),</w:t>
      </w:r>
    </w:p>
    <w:p w14:paraId="4B53727C" w14:textId="77777777" w:rsidR="009E1C53" w:rsidRPr="00204855" w:rsidRDefault="009E1C53" w:rsidP="009E1C53">
      <w:pPr>
        <w:pStyle w:val="Listenabsatz"/>
        <w:numPr>
          <w:ilvl w:val="0"/>
          <w:numId w:val="44"/>
        </w:numPr>
        <w:autoSpaceDE w:val="0"/>
        <w:autoSpaceDN w:val="0"/>
        <w:adjustRightInd w:val="0"/>
        <w:rPr>
          <w:rFonts w:cs="Arial"/>
          <w:sz w:val="20"/>
          <w:lang w:val="fr-CH" w:eastAsia="de-CH"/>
        </w:rPr>
      </w:pPr>
      <w:r w:rsidRPr="00204855">
        <w:rPr>
          <w:rFonts w:cs="Arial"/>
          <w:sz w:val="20"/>
          <w:lang w:val="fr-CH" w:eastAsia="de-CH"/>
        </w:rPr>
        <w:t>‒ installations d’exploitation (selon les libellés 1 à 8 CFC),</w:t>
      </w:r>
    </w:p>
    <w:p w14:paraId="1E5A4848" w14:textId="5B5BEA6B" w:rsidR="009E1C53" w:rsidRPr="00204855" w:rsidRDefault="009E1C53" w:rsidP="009E1C53">
      <w:pPr>
        <w:pStyle w:val="Listenabsatz"/>
        <w:numPr>
          <w:ilvl w:val="0"/>
          <w:numId w:val="44"/>
        </w:numPr>
        <w:autoSpaceDE w:val="0"/>
        <w:autoSpaceDN w:val="0"/>
        <w:adjustRightInd w:val="0"/>
        <w:rPr>
          <w:rFonts w:cs="Arial"/>
          <w:sz w:val="20"/>
          <w:lang w:val="fr-CH" w:eastAsia="de-CH"/>
        </w:rPr>
      </w:pPr>
      <w:r w:rsidRPr="00204855">
        <w:rPr>
          <w:rFonts w:cs="Arial"/>
          <w:sz w:val="20"/>
          <w:lang w:val="fr-CH" w:eastAsia="de-CH"/>
        </w:rPr>
        <w:t>‒ mobilier (selon le libellé 9 CFC).</w:t>
      </w:r>
    </w:p>
    <w:p w14:paraId="1857767D" w14:textId="77777777" w:rsidR="00C65F0D" w:rsidRPr="00204855" w:rsidRDefault="00C65F0D" w:rsidP="00C65F0D">
      <w:pPr>
        <w:autoSpaceDE w:val="0"/>
        <w:autoSpaceDN w:val="0"/>
        <w:adjustRightInd w:val="0"/>
        <w:rPr>
          <w:rFonts w:cs="Arial"/>
          <w:sz w:val="20"/>
          <w:lang w:val="fr-CH" w:eastAsia="de-CH"/>
        </w:rPr>
      </w:pPr>
    </w:p>
    <w:p w14:paraId="062F5337" w14:textId="77777777" w:rsidR="0000519D" w:rsidRPr="00204855" w:rsidRDefault="00DB6F49" w:rsidP="0000519D">
      <w:pPr>
        <w:autoSpaceDE w:val="0"/>
        <w:autoSpaceDN w:val="0"/>
        <w:adjustRightInd w:val="0"/>
        <w:rPr>
          <w:rFonts w:cs="Arial"/>
          <w:sz w:val="20"/>
          <w:lang w:val="fr-CH" w:eastAsia="de-CH"/>
        </w:rPr>
      </w:pPr>
      <w:r w:rsidRPr="00204855">
        <w:rPr>
          <w:rFonts w:cs="Arial"/>
          <w:sz w:val="20"/>
          <w:lang w:val="fr-CH" w:eastAsia="de-CH"/>
        </w:rPr>
        <w:t>3.</w:t>
      </w:r>
      <w:r w:rsidR="00E544EA" w:rsidRPr="00204855">
        <w:rPr>
          <w:rFonts w:cs="Arial"/>
          <w:sz w:val="20"/>
          <w:lang w:val="fr-CH" w:eastAsia="de-CH"/>
        </w:rPr>
        <w:t xml:space="preserve">2 </w:t>
      </w:r>
      <w:r w:rsidR="00C65F0D" w:rsidRPr="00204855">
        <w:rPr>
          <w:rFonts w:cs="Arial"/>
          <w:sz w:val="20"/>
          <w:lang w:val="fr-CH" w:eastAsia="de-CH"/>
        </w:rPr>
        <w:t xml:space="preserve">Les ressources du </w:t>
      </w:r>
      <w:r w:rsidR="00C55596" w:rsidRPr="00204855">
        <w:rPr>
          <w:rFonts w:cs="Arial"/>
          <w:sz w:val="20"/>
          <w:lang w:val="fr-CH" w:eastAsia="de-CH"/>
        </w:rPr>
        <w:t>f</w:t>
      </w:r>
      <w:r w:rsidR="00C65F0D" w:rsidRPr="00204855">
        <w:rPr>
          <w:rFonts w:cs="Arial"/>
          <w:sz w:val="20"/>
          <w:lang w:val="fr-CH" w:eastAsia="de-CH"/>
        </w:rPr>
        <w:t xml:space="preserve">onds peuvent également </w:t>
      </w:r>
      <w:r w:rsidR="0000519D" w:rsidRPr="00204855">
        <w:rPr>
          <w:rFonts w:cs="Arial"/>
          <w:sz w:val="20"/>
          <w:lang w:val="fr-CH" w:eastAsia="de-CH"/>
        </w:rPr>
        <w:t>en partie être utilisée pour les rentes du droit de superficie ou les intérêts et l’amortissement des crédits ayant servi à l’acquisition de terrain.</w:t>
      </w:r>
    </w:p>
    <w:p w14:paraId="6E8858D0" w14:textId="77777777" w:rsidR="0000519D" w:rsidRPr="00204855" w:rsidRDefault="0000519D" w:rsidP="009D7CCB">
      <w:pPr>
        <w:autoSpaceDE w:val="0"/>
        <w:autoSpaceDN w:val="0"/>
        <w:adjustRightInd w:val="0"/>
        <w:rPr>
          <w:rFonts w:cs="Arial"/>
          <w:sz w:val="20"/>
          <w:lang w:val="fr-CH" w:eastAsia="de-CH"/>
        </w:rPr>
      </w:pPr>
    </w:p>
    <w:p w14:paraId="22F8E3D0" w14:textId="77777777" w:rsidR="0000519D" w:rsidRPr="00204855" w:rsidRDefault="0000519D" w:rsidP="009D7CCB">
      <w:pPr>
        <w:autoSpaceDE w:val="0"/>
        <w:autoSpaceDN w:val="0"/>
        <w:adjustRightInd w:val="0"/>
        <w:rPr>
          <w:rFonts w:cs="Arial"/>
          <w:sz w:val="20"/>
          <w:lang w:val="fr-CH" w:eastAsia="de-CH"/>
        </w:rPr>
      </w:pPr>
    </w:p>
    <w:p w14:paraId="681B59FD" w14:textId="27558F5B" w:rsidR="0000519D" w:rsidRPr="00204855" w:rsidRDefault="00E544EA" w:rsidP="0000519D">
      <w:pPr>
        <w:ind w:right="-1"/>
        <w:jc w:val="both"/>
        <w:rPr>
          <w:rFonts w:cs="Arial"/>
          <w:b/>
          <w:sz w:val="20"/>
          <w:lang w:val="fr-CH"/>
        </w:rPr>
      </w:pPr>
      <w:r w:rsidRPr="00204855">
        <w:rPr>
          <w:rFonts w:cs="Arial"/>
          <w:b/>
          <w:sz w:val="20"/>
          <w:lang w:val="fr-CH"/>
        </w:rPr>
        <w:t xml:space="preserve">4. </w:t>
      </w:r>
      <w:r w:rsidR="0000519D" w:rsidRPr="00204855">
        <w:rPr>
          <w:rFonts w:cs="Arial"/>
          <w:b/>
          <w:bCs/>
          <w:sz w:val="20"/>
          <w:lang w:val="fr-CH" w:eastAsia="de-CH"/>
        </w:rPr>
        <w:t>Placement des liquidités</w:t>
      </w:r>
      <w:r w:rsidR="0000519D" w:rsidRPr="00204855">
        <w:rPr>
          <w:rFonts w:cs="Arial"/>
          <w:b/>
          <w:bCs/>
          <w:sz w:val="20"/>
          <w:lang w:val="fr-CH" w:eastAsia="de-CH"/>
        </w:rPr>
        <w:t xml:space="preserve"> </w:t>
      </w:r>
      <w:r w:rsidR="0000519D" w:rsidRPr="00204855">
        <w:rPr>
          <w:rFonts w:cs="Arial"/>
          <w:b/>
          <w:bCs/>
          <w:sz w:val="20"/>
          <w:lang w:val="fr-CH" w:eastAsia="de-CH"/>
        </w:rPr>
        <w:t>disponibles du fonds</w:t>
      </w:r>
    </w:p>
    <w:p w14:paraId="3D7EA5EC" w14:textId="77777777" w:rsidR="00C65F0D" w:rsidRPr="00204855" w:rsidRDefault="00C65F0D" w:rsidP="00534A85">
      <w:pPr>
        <w:ind w:right="-1"/>
        <w:jc w:val="both"/>
        <w:rPr>
          <w:rFonts w:cs="Arial"/>
          <w:sz w:val="20"/>
          <w:lang w:val="fr-CH"/>
        </w:rPr>
      </w:pPr>
    </w:p>
    <w:p w14:paraId="1059A1B6" w14:textId="60384E62" w:rsidR="00392E61" w:rsidRPr="00204855" w:rsidRDefault="00DB6F49" w:rsidP="00392E61">
      <w:pPr>
        <w:autoSpaceDE w:val="0"/>
        <w:autoSpaceDN w:val="0"/>
        <w:adjustRightInd w:val="0"/>
        <w:rPr>
          <w:rFonts w:ascii="ArialMT" w:hAnsi="ArialMT" w:cs="ArialMT"/>
          <w:sz w:val="17"/>
          <w:szCs w:val="17"/>
          <w:lang w:val="fr-CH" w:eastAsia="de-CH"/>
        </w:rPr>
      </w:pPr>
      <w:r w:rsidRPr="00204855">
        <w:rPr>
          <w:rFonts w:cs="Arial"/>
          <w:sz w:val="20"/>
          <w:lang w:val="fr-CH"/>
        </w:rPr>
        <w:t>4.</w:t>
      </w:r>
      <w:r w:rsidR="00525D20" w:rsidRPr="00204855">
        <w:rPr>
          <w:rFonts w:cs="Arial"/>
          <w:sz w:val="20"/>
          <w:lang w:val="fr-CH"/>
        </w:rPr>
        <w:t xml:space="preserve">1 </w:t>
      </w:r>
      <w:r w:rsidR="00C65F0D" w:rsidRPr="00204855">
        <w:rPr>
          <w:rFonts w:cs="Arial"/>
          <w:sz w:val="20"/>
          <w:lang w:val="fr-CH"/>
        </w:rPr>
        <w:t xml:space="preserve">Si des </w:t>
      </w:r>
      <w:r w:rsidR="0000519D" w:rsidRPr="00204855">
        <w:rPr>
          <w:rFonts w:ascii="ArialMT" w:hAnsi="ArialMT" w:cs="ArialMT"/>
          <w:sz w:val="17"/>
          <w:szCs w:val="17"/>
          <w:lang w:val="fr-CH" w:eastAsia="de-CH"/>
        </w:rPr>
        <w:t>liquidités</w:t>
      </w:r>
      <w:r w:rsidR="0000519D" w:rsidRPr="00204855">
        <w:rPr>
          <w:rFonts w:ascii="ArialMT" w:hAnsi="ArialMT" w:cs="ArialMT"/>
          <w:sz w:val="17"/>
          <w:szCs w:val="17"/>
          <w:lang w:val="fr-CH" w:eastAsia="de-CH"/>
        </w:rPr>
        <w:t xml:space="preserve"> </w:t>
      </w:r>
      <w:r w:rsidR="00C65F0D" w:rsidRPr="00204855">
        <w:rPr>
          <w:rFonts w:cs="Arial"/>
          <w:sz w:val="20"/>
          <w:lang w:val="fr-CH"/>
        </w:rPr>
        <w:t>apparaissent, elles peuvent être placées dans des actifs conformément aux dispositions</w:t>
      </w:r>
      <w:r w:rsidR="00C55596" w:rsidRPr="00204855">
        <w:rPr>
          <w:rStyle w:val="Funotenzeichen"/>
          <w:rFonts w:cs="Arial"/>
          <w:sz w:val="20"/>
          <w:lang w:val="fr-CH"/>
        </w:rPr>
        <w:footnoteReference w:id="1"/>
      </w:r>
      <w:r w:rsidR="00C65F0D" w:rsidRPr="00204855">
        <w:rPr>
          <w:rFonts w:cs="Arial"/>
          <w:sz w:val="20"/>
          <w:lang w:val="fr-CH"/>
        </w:rPr>
        <w:t xml:space="preserve"> déclarées comme faisant autorité par le canton ou être accordées</w:t>
      </w:r>
      <w:r w:rsidR="00392E61" w:rsidRPr="00204855">
        <w:rPr>
          <w:rFonts w:ascii="ArialMT" w:hAnsi="ArialMT" w:cs="ArialMT"/>
          <w:sz w:val="17"/>
          <w:szCs w:val="17"/>
          <w:lang w:val="fr-CH" w:eastAsia="de-CH"/>
        </w:rPr>
        <w:t xml:space="preserve"> pour des emprunts contractés en vue du financement d’infrastructure destinée à des exploitations ou secteurs d’exploitation différents.</w:t>
      </w:r>
    </w:p>
    <w:p w14:paraId="39D65F2C" w14:textId="599D6BA7" w:rsidR="00392E61" w:rsidRPr="00204855" w:rsidRDefault="00392E61" w:rsidP="00C65F0D">
      <w:pPr>
        <w:ind w:right="-1"/>
        <w:jc w:val="both"/>
        <w:rPr>
          <w:rFonts w:cs="Arial"/>
          <w:sz w:val="20"/>
          <w:lang w:val="fr-CH"/>
        </w:rPr>
      </w:pPr>
    </w:p>
    <w:p w14:paraId="58C7D6E4" w14:textId="77777777" w:rsidR="00C65F0D" w:rsidRPr="00204855" w:rsidRDefault="00C65F0D" w:rsidP="00C65F0D">
      <w:pPr>
        <w:ind w:right="-1"/>
        <w:jc w:val="both"/>
        <w:rPr>
          <w:rFonts w:cs="Arial"/>
          <w:sz w:val="20"/>
          <w:lang w:val="fr-CH"/>
        </w:rPr>
      </w:pPr>
    </w:p>
    <w:p w14:paraId="295DEC8C" w14:textId="3F45BF2B" w:rsidR="00B503BA" w:rsidRPr="00204855" w:rsidRDefault="00DB6F49" w:rsidP="00B503BA">
      <w:pPr>
        <w:ind w:right="-1"/>
        <w:jc w:val="both"/>
        <w:rPr>
          <w:rFonts w:cs="Arial"/>
          <w:sz w:val="20"/>
          <w:lang w:val="fr-CH"/>
        </w:rPr>
      </w:pPr>
      <w:r w:rsidRPr="00204855">
        <w:rPr>
          <w:rFonts w:cs="Arial"/>
          <w:sz w:val="20"/>
          <w:lang w:val="fr-CH"/>
        </w:rPr>
        <w:t>4.</w:t>
      </w:r>
      <w:r w:rsidR="00525D20" w:rsidRPr="00204855">
        <w:rPr>
          <w:rFonts w:cs="Arial"/>
          <w:sz w:val="20"/>
          <w:lang w:val="fr-CH"/>
        </w:rPr>
        <w:t xml:space="preserve">2 </w:t>
      </w:r>
      <w:r w:rsidR="00C65F0D" w:rsidRPr="00204855">
        <w:rPr>
          <w:rFonts w:cs="Arial"/>
          <w:sz w:val="20"/>
          <w:lang w:val="fr-CH"/>
        </w:rPr>
        <w:t>Les re</w:t>
      </w:r>
      <w:r w:rsidR="00204855" w:rsidRPr="00204855">
        <w:rPr>
          <w:rFonts w:cs="Arial"/>
          <w:sz w:val="20"/>
          <w:lang w:val="fr-CH"/>
        </w:rPr>
        <w:t>cette</w:t>
      </w:r>
      <w:r w:rsidR="00C65F0D" w:rsidRPr="00204855">
        <w:rPr>
          <w:rFonts w:cs="Arial"/>
          <w:sz w:val="20"/>
          <w:lang w:val="fr-CH"/>
        </w:rPr>
        <w:t xml:space="preserve">s des </w:t>
      </w:r>
      <w:r w:rsidR="00204855" w:rsidRPr="00204855">
        <w:rPr>
          <w:rFonts w:cs="Arial"/>
          <w:sz w:val="20"/>
          <w:lang w:val="fr-CH"/>
        </w:rPr>
        <w:t>placements</w:t>
      </w:r>
      <w:r w:rsidR="00C65F0D" w:rsidRPr="00204855">
        <w:rPr>
          <w:rFonts w:cs="Arial"/>
          <w:sz w:val="20"/>
          <w:lang w:val="fr-CH"/>
        </w:rPr>
        <w:t xml:space="preserve"> susmentionnés sont </w:t>
      </w:r>
      <w:r w:rsidR="00204855" w:rsidRPr="00204855">
        <w:rPr>
          <w:rFonts w:cs="Arial"/>
          <w:sz w:val="20"/>
          <w:lang w:val="fr-CH"/>
        </w:rPr>
        <w:t>affectées</w:t>
      </w:r>
      <w:r w:rsidR="00C65F0D" w:rsidRPr="00204855">
        <w:rPr>
          <w:rFonts w:cs="Arial"/>
          <w:sz w:val="20"/>
          <w:lang w:val="fr-CH"/>
        </w:rPr>
        <w:t xml:space="preserve"> au fonds</w:t>
      </w:r>
      <w:r w:rsidR="00B503BA" w:rsidRPr="00204855">
        <w:rPr>
          <w:rFonts w:cs="Arial"/>
          <w:sz w:val="20"/>
          <w:lang w:val="fr-CH"/>
        </w:rPr>
        <w:t>.</w:t>
      </w:r>
    </w:p>
    <w:p w14:paraId="5DDEE2FF" w14:textId="77777777" w:rsidR="00E544EA" w:rsidRPr="00204855" w:rsidRDefault="00E544EA" w:rsidP="00E544EA">
      <w:pPr>
        <w:ind w:right="-1"/>
        <w:jc w:val="both"/>
        <w:rPr>
          <w:rFonts w:cs="Arial"/>
          <w:sz w:val="20"/>
          <w:lang w:val="fr-CH"/>
        </w:rPr>
      </w:pPr>
    </w:p>
    <w:p w14:paraId="743E5265" w14:textId="77777777" w:rsidR="0003341C" w:rsidRPr="00204855" w:rsidRDefault="0003341C">
      <w:pPr>
        <w:rPr>
          <w:rFonts w:cs="Arial"/>
          <w:b/>
          <w:sz w:val="20"/>
          <w:lang w:val="fr-CH"/>
        </w:rPr>
      </w:pPr>
      <w:r w:rsidRPr="00204855">
        <w:rPr>
          <w:rFonts w:cs="Arial"/>
          <w:b/>
          <w:sz w:val="20"/>
          <w:lang w:val="fr-CH"/>
        </w:rPr>
        <w:br w:type="page"/>
      </w:r>
    </w:p>
    <w:p w14:paraId="4AB73B8F" w14:textId="68A786B0" w:rsidR="00B503BA" w:rsidRPr="00204855" w:rsidRDefault="00B503BA" w:rsidP="00534A85">
      <w:pPr>
        <w:ind w:right="-1"/>
        <w:jc w:val="both"/>
        <w:rPr>
          <w:rFonts w:cs="Arial"/>
          <w:b/>
          <w:sz w:val="20"/>
          <w:lang w:val="fr-CH"/>
        </w:rPr>
      </w:pPr>
      <w:r w:rsidRPr="00204855">
        <w:rPr>
          <w:rFonts w:cs="Arial"/>
          <w:b/>
          <w:sz w:val="20"/>
          <w:lang w:val="fr-CH"/>
        </w:rPr>
        <w:lastRenderedPageBreak/>
        <w:t xml:space="preserve">5. </w:t>
      </w:r>
      <w:r w:rsidR="00204855" w:rsidRPr="00204855">
        <w:rPr>
          <w:rFonts w:cs="Arial"/>
          <w:b/>
          <w:sz w:val="20"/>
          <w:lang w:val="fr-CH" w:eastAsia="de-CH"/>
        </w:rPr>
        <w:t>R</w:t>
      </w:r>
      <w:r w:rsidR="00204855" w:rsidRPr="00204855">
        <w:rPr>
          <w:rFonts w:cs="Arial"/>
          <w:b/>
          <w:sz w:val="20"/>
          <w:lang w:val="fr-CH" w:eastAsia="de-CH"/>
        </w:rPr>
        <w:t>emboursement des subventions d’investissement</w:t>
      </w:r>
    </w:p>
    <w:p w14:paraId="7274BE81" w14:textId="77777777" w:rsidR="00B503BA" w:rsidRPr="00A94784" w:rsidRDefault="00B503BA" w:rsidP="00534A85">
      <w:pPr>
        <w:ind w:right="-1"/>
        <w:jc w:val="both"/>
        <w:rPr>
          <w:rFonts w:cs="Arial"/>
          <w:sz w:val="20"/>
          <w:lang w:val="fr-CH"/>
        </w:rPr>
      </w:pPr>
    </w:p>
    <w:p w14:paraId="745C79D3" w14:textId="0F30B503" w:rsidR="00A94784" w:rsidRPr="00A94784" w:rsidRDefault="00C65F0D" w:rsidP="00A94784">
      <w:pPr>
        <w:autoSpaceDE w:val="0"/>
        <w:autoSpaceDN w:val="0"/>
        <w:adjustRightInd w:val="0"/>
        <w:rPr>
          <w:rFonts w:cs="Arial"/>
          <w:sz w:val="20"/>
          <w:lang w:val="fr-CH" w:eastAsia="de-CH"/>
        </w:rPr>
      </w:pPr>
      <w:r w:rsidRPr="00A94784">
        <w:rPr>
          <w:rFonts w:cs="Arial"/>
          <w:sz w:val="20"/>
          <w:lang w:val="fr-CH"/>
        </w:rPr>
        <w:t xml:space="preserve">S'il existe des </w:t>
      </w:r>
      <w:r w:rsidR="00A94784" w:rsidRPr="00A94784">
        <w:rPr>
          <w:rFonts w:cs="Arial"/>
          <w:sz w:val="20"/>
          <w:lang w:val="fr-CH" w:eastAsia="de-CH"/>
        </w:rPr>
        <w:t xml:space="preserve">subventions d’investissement </w:t>
      </w:r>
      <w:r w:rsidRPr="00A94784">
        <w:rPr>
          <w:rFonts w:cs="Arial"/>
          <w:sz w:val="20"/>
          <w:lang w:val="fr-CH"/>
        </w:rPr>
        <w:t xml:space="preserve">du canton qui font l'objet d'un remboursement, celles-ci </w:t>
      </w:r>
      <w:r w:rsidR="00A94784" w:rsidRPr="00A94784">
        <w:rPr>
          <w:rFonts w:cs="Arial"/>
          <w:sz w:val="20"/>
          <w:lang w:val="fr-CH" w:eastAsia="de-CH"/>
        </w:rPr>
        <w:t>doivent être attribuées au groupe 250 des capitaux de tiers en tant qu’engagements à long terme. Le montant dû pour l’exercice suivant doit chaque année faire l’objet d’une opération comptable: il doit être inscrit dans le groupe 220 (engagements à court terme).</w:t>
      </w:r>
    </w:p>
    <w:p w14:paraId="4AEFA975" w14:textId="6744DCEC" w:rsidR="00A94784" w:rsidRDefault="00A94784" w:rsidP="00534A85">
      <w:pPr>
        <w:ind w:right="-1"/>
        <w:jc w:val="both"/>
        <w:rPr>
          <w:rFonts w:cs="Arial"/>
          <w:sz w:val="20"/>
          <w:lang w:val="de-CH"/>
        </w:rPr>
      </w:pPr>
    </w:p>
    <w:p w14:paraId="3577C24D" w14:textId="77777777" w:rsidR="00B503BA" w:rsidRPr="00A94784" w:rsidRDefault="00B503BA" w:rsidP="00534A85">
      <w:pPr>
        <w:ind w:right="-1"/>
        <w:jc w:val="both"/>
        <w:rPr>
          <w:rFonts w:cs="Arial"/>
          <w:sz w:val="20"/>
          <w:lang w:val="fr-CH"/>
        </w:rPr>
      </w:pPr>
    </w:p>
    <w:p w14:paraId="4E65E082" w14:textId="483F18FB" w:rsidR="009C7005" w:rsidRPr="00204855" w:rsidRDefault="00B503BA" w:rsidP="00534A85">
      <w:pPr>
        <w:ind w:right="-1"/>
        <w:jc w:val="both"/>
        <w:rPr>
          <w:rFonts w:cs="Arial"/>
          <w:b/>
          <w:sz w:val="20"/>
          <w:lang w:val="fr-CH"/>
        </w:rPr>
      </w:pPr>
      <w:r w:rsidRPr="00204855">
        <w:rPr>
          <w:rFonts w:cs="Arial"/>
          <w:b/>
          <w:sz w:val="20"/>
          <w:lang w:val="fr-CH"/>
        </w:rPr>
        <w:t xml:space="preserve">6. </w:t>
      </w:r>
      <w:r w:rsidR="00C65F0D" w:rsidRPr="00204855">
        <w:rPr>
          <w:rFonts w:cs="Arial"/>
          <w:b/>
          <w:sz w:val="20"/>
          <w:lang w:val="fr-CH"/>
        </w:rPr>
        <w:t>Utilisation des fonds en cas de dissolution du fonds</w:t>
      </w:r>
    </w:p>
    <w:p w14:paraId="3562C194" w14:textId="77777777" w:rsidR="00B503BA" w:rsidRPr="00204855" w:rsidRDefault="00B503BA" w:rsidP="00534A85">
      <w:pPr>
        <w:ind w:right="-1"/>
        <w:jc w:val="both"/>
        <w:rPr>
          <w:rFonts w:cs="Arial"/>
          <w:sz w:val="20"/>
          <w:lang w:val="fr-CH"/>
        </w:rPr>
      </w:pPr>
    </w:p>
    <w:p w14:paraId="28A92940" w14:textId="1F88D98F" w:rsidR="00B503BA" w:rsidRPr="00204855" w:rsidRDefault="00C65F0D" w:rsidP="00525D20">
      <w:pPr>
        <w:autoSpaceDE w:val="0"/>
        <w:autoSpaceDN w:val="0"/>
        <w:adjustRightInd w:val="0"/>
        <w:rPr>
          <w:rFonts w:cs="Arial"/>
          <w:sz w:val="20"/>
          <w:lang w:val="fr-CH" w:eastAsia="de-CH"/>
        </w:rPr>
      </w:pPr>
      <w:r w:rsidRPr="00204855">
        <w:rPr>
          <w:rFonts w:cs="Arial"/>
          <w:sz w:val="20"/>
          <w:lang w:val="fr-CH" w:eastAsia="de-CH"/>
        </w:rPr>
        <w:t xml:space="preserve">En cas de dissolution du fonds, les fonds restants sont transférés à une institution ayant le même but, conformément à la </w:t>
      </w:r>
      <w:r w:rsidR="0041586B" w:rsidRPr="00204855">
        <w:rPr>
          <w:rFonts w:cs="Arial"/>
          <w:sz w:val="20"/>
          <w:lang w:val="fr-CH"/>
        </w:rPr>
        <w:t>LPEP</w:t>
      </w:r>
      <w:r w:rsidR="0041586B" w:rsidRPr="00204855">
        <w:rPr>
          <w:rFonts w:cs="Arial"/>
          <w:sz w:val="20"/>
          <w:lang w:val="fr-CH" w:eastAsia="de-CH"/>
        </w:rPr>
        <w:t xml:space="preserve"> </w:t>
      </w:r>
      <w:r w:rsidRPr="00204855">
        <w:rPr>
          <w:rFonts w:cs="Arial"/>
          <w:sz w:val="20"/>
          <w:lang w:val="fr-CH" w:eastAsia="de-CH"/>
        </w:rPr>
        <w:t xml:space="preserve">du canton de Berne, en concertation avec </w:t>
      </w:r>
      <w:r w:rsidR="00410DDE">
        <w:rPr>
          <w:rFonts w:cs="Arial"/>
          <w:sz w:val="20"/>
          <w:lang w:val="fr-CH" w:eastAsia="de-CH"/>
        </w:rPr>
        <w:t>l’Office des Mineurs</w:t>
      </w:r>
      <w:r w:rsidR="0010198A" w:rsidRPr="00204855">
        <w:rPr>
          <w:rFonts w:cs="Arial"/>
          <w:sz w:val="20"/>
          <w:lang w:val="fr-CH" w:eastAsia="de-CH"/>
        </w:rPr>
        <w:t xml:space="preserve">. </w:t>
      </w:r>
    </w:p>
    <w:p w14:paraId="7CA057F5" w14:textId="77777777" w:rsidR="00B503BA" w:rsidRPr="00204855" w:rsidRDefault="00B503BA" w:rsidP="00534A85">
      <w:pPr>
        <w:ind w:right="-1"/>
        <w:jc w:val="both"/>
        <w:rPr>
          <w:rFonts w:cs="Arial"/>
          <w:sz w:val="20"/>
          <w:lang w:val="fr-CH"/>
        </w:rPr>
      </w:pPr>
    </w:p>
    <w:p w14:paraId="2E5B5ECC" w14:textId="77777777" w:rsidR="00B503BA" w:rsidRPr="00204855" w:rsidRDefault="00B503BA" w:rsidP="00534A85">
      <w:pPr>
        <w:ind w:right="-1"/>
        <w:jc w:val="both"/>
        <w:rPr>
          <w:rFonts w:cs="Arial"/>
          <w:sz w:val="20"/>
          <w:lang w:val="fr-CH"/>
        </w:rPr>
      </w:pPr>
    </w:p>
    <w:p w14:paraId="02507747" w14:textId="5560B131" w:rsidR="00525D20" w:rsidRPr="00204855" w:rsidRDefault="00525D20" w:rsidP="00534A85">
      <w:pPr>
        <w:ind w:right="-1"/>
        <w:jc w:val="both"/>
        <w:rPr>
          <w:rFonts w:cs="Arial"/>
          <w:b/>
          <w:sz w:val="20"/>
          <w:lang w:val="fr-CH"/>
        </w:rPr>
      </w:pPr>
      <w:r w:rsidRPr="00204855">
        <w:rPr>
          <w:rFonts w:cs="Arial"/>
          <w:b/>
          <w:sz w:val="20"/>
          <w:lang w:val="fr-CH"/>
        </w:rPr>
        <w:t xml:space="preserve">7. </w:t>
      </w:r>
      <w:r w:rsidR="00C65F0D" w:rsidRPr="00204855">
        <w:rPr>
          <w:rFonts w:cs="Arial"/>
          <w:b/>
          <w:sz w:val="20"/>
          <w:lang w:val="fr-CH"/>
        </w:rPr>
        <w:t>Responsabilités</w:t>
      </w:r>
    </w:p>
    <w:p w14:paraId="63FC96FD" w14:textId="77777777" w:rsidR="00525D20" w:rsidRPr="00204855" w:rsidRDefault="00525D20" w:rsidP="00534A85">
      <w:pPr>
        <w:ind w:right="-1"/>
        <w:jc w:val="both"/>
        <w:rPr>
          <w:rFonts w:cs="Arial"/>
          <w:sz w:val="20"/>
          <w:lang w:val="fr-CH"/>
        </w:rPr>
      </w:pPr>
    </w:p>
    <w:p w14:paraId="6C394A97" w14:textId="73AF48E4" w:rsidR="00525D20" w:rsidRPr="00204855" w:rsidRDefault="00F25DC1" w:rsidP="00525D20">
      <w:pPr>
        <w:ind w:right="-1"/>
        <w:jc w:val="both"/>
        <w:rPr>
          <w:rFonts w:cs="Arial"/>
          <w:sz w:val="20"/>
          <w:lang w:val="fr-CH"/>
        </w:rPr>
      </w:pPr>
      <w:r w:rsidRPr="00204855">
        <w:rPr>
          <w:rFonts w:cs="Arial"/>
          <w:sz w:val="20"/>
          <w:lang w:val="fr-CH"/>
        </w:rPr>
        <w:t>7.</w:t>
      </w:r>
      <w:r w:rsidR="0010198A" w:rsidRPr="00204855">
        <w:rPr>
          <w:rFonts w:cs="Arial"/>
          <w:sz w:val="20"/>
          <w:lang w:val="fr-CH"/>
        </w:rPr>
        <w:t xml:space="preserve">1 </w:t>
      </w:r>
      <w:r w:rsidR="00C65F0D" w:rsidRPr="00204855">
        <w:rPr>
          <w:rFonts w:cs="Arial"/>
          <w:sz w:val="20"/>
          <w:lang w:val="fr-CH"/>
        </w:rPr>
        <w:t>L</w:t>
      </w:r>
      <w:r w:rsidR="00203E98" w:rsidRPr="00204855">
        <w:rPr>
          <w:rFonts w:cs="Arial"/>
          <w:sz w:val="20"/>
          <w:lang w:val="fr-CH"/>
        </w:rPr>
        <w:t>a</w:t>
      </w:r>
      <w:r w:rsidR="00C65F0D" w:rsidRPr="00204855">
        <w:rPr>
          <w:rFonts w:cs="Arial"/>
          <w:sz w:val="20"/>
          <w:lang w:val="fr-CH"/>
        </w:rPr>
        <w:t xml:space="preserve"> </w:t>
      </w:r>
      <w:r w:rsidR="00203E98" w:rsidRPr="00204855">
        <w:rPr>
          <w:rFonts w:cs="Arial"/>
          <w:sz w:val="20"/>
          <w:highlight w:val="yellow"/>
          <w:lang w:val="fr-CH"/>
        </w:rPr>
        <w:t>direction</w:t>
      </w:r>
      <w:r w:rsidR="00C65F0D" w:rsidRPr="00204855">
        <w:rPr>
          <w:rFonts w:cs="Arial"/>
          <w:sz w:val="20"/>
          <w:lang w:val="fr-CH"/>
        </w:rPr>
        <w:t xml:space="preserve"> demande au </w:t>
      </w:r>
      <w:r w:rsidR="00410DDE">
        <w:rPr>
          <w:rFonts w:cs="Arial"/>
          <w:sz w:val="20"/>
          <w:highlight w:val="yellow"/>
          <w:lang w:val="fr-CH"/>
        </w:rPr>
        <w:t xml:space="preserve">comité exécutif / </w:t>
      </w:r>
      <w:r w:rsidR="00C65F0D" w:rsidRPr="00204855">
        <w:rPr>
          <w:rFonts w:cs="Arial"/>
          <w:sz w:val="20"/>
          <w:highlight w:val="yellow"/>
          <w:lang w:val="fr-CH"/>
        </w:rPr>
        <w:t>conseil de fondation</w:t>
      </w:r>
      <w:r w:rsidR="00C65F0D" w:rsidRPr="00204855">
        <w:rPr>
          <w:rFonts w:cs="Arial"/>
          <w:sz w:val="20"/>
          <w:lang w:val="fr-CH"/>
        </w:rPr>
        <w:t xml:space="preserve"> de retirer des ressources du fonds pour les utiliser conformément à l'objectif défini à la clause 3</w:t>
      </w:r>
      <w:r w:rsidR="00525D20" w:rsidRPr="00204855">
        <w:rPr>
          <w:rFonts w:cs="Arial"/>
          <w:sz w:val="20"/>
          <w:lang w:val="fr-CH"/>
        </w:rPr>
        <w:t xml:space="preserve">. </w:t>
      </w:r>
    </w:p>
    <w:p w14:paraId="6CEF7C29" w14:textId="77777777" w:rsidR="00525D20" w:rsidRPr="00204855" w:rsidRDefault="00525D20" w:rsidP="00525D20">
      <w:pPr>
        <w:ind w:right="-1"/>
        <w:jc w:val="both"/>
        <w:rPr>
          <w:rFonts w:cs="Arial"/>
          <w:sz w:val="20"/>
          <w:lang w:val="fr-CH"/>
        </w:rPr>
      </w:pPr>
    </w:p>
    <w:p w14:paraId="238A58A8" w14:textId="29CC3244" w:rsidR="00636FEA" w:rsidRPr="00204855" w:rsidRDefault="00F25DC1">
      <w:pPr>
        <w:ind w:right="-1"/>
        <w:jc w:val="both"/>
        <w:rPr>
          <w:rFonts w:cs="Arial"/>
          <w:sz w:val="20"/>
          <w:lang w:val="fr-CH"/>
        </w:rPr>
      </w:pPr>
      <w:r w:rsidRPr="00204855">
        <w:rPr>
          <w:rFonts w:cs="Arial"/>
          <w:sz w:val="20"/>
          <w:lang w:val="fr-CH"/>
        </w:rPr>
        <w:t>7.</w:t>
      </w:r>
      <w:r w:rsidR="0010198A" w:rsidRPr="00204855">
        <w:rPr>
          <w:rFonts w:cs="Arial"/>
          <w:sz w:val="20"/>
          <w:lang w:val="fr-CH"/>
        </w:rPr>
        <w:t xml:space="preserve">2 </w:t>
      </w:r>
      <w:r w:rsidR="00C65F0D" w:rsidRPr="00204855">
        <w:rPr>
          <w:rFonts w:cs="Arial"/>
          <w:sz w:val="20"/>
          <w:lang w:val="fr-CH"/>
        </w:rPr>
        <w:t>Dans le cadre du retrait approuvé, l</w:t>
      </w:r>
      <w:r w:rsidR="00203E98" w:rsidRPr="00204855">
        <w:rPr>
          <w:rFonts w:cs="Arial"/>
          <w:sz w:val="20"/>
          <w:lang w:val="fr-CH"/>
        </w:rPr>
        <w:t>a</w:t>
      </w:r>
      <w:r w:rsidR="00C65F0D" w:rsidRPr="00204855">
        <w:rPr>
          <w:rFonts w:cs="Arial"/>
          <w:sz w:val="20"/>
          <w:lang w:val="fr-CH"/>
        </w:rPr>
        <w:t xml:space="preserve"> </w:t>
      </w:r>
      <w:r w:rsidR="00203E98" w:rsidRPr="00204855">
        <w:rPr>
          <w:rFonts w:cs="Arial"/>
          <w:sz w:val="20"/>
          <w:highlight w:val="yellow"/>
          <w:lang w:val="fr-CH"/>
        </w:rPr>
        <w:t>direction</w:t>
      </w:r>
      <w:r w:rsidR="00C65F0D" w:rsidRPr="00204855">
        <w:rPr>
          <w:rFonts w:cs="Arial"/>
          <w:sz w:val="20"/>
          <w:lang w:val="fr-CH"/>
        </w:rPr>
        <w:t xml:space="preserve"> a le pouvoir d'effectuer des dépenses.</w:t>
      </w:r>
    </w:p>
    <w:p w14:paraId="0D77FA01" w14:textId="268C3D3A" w:rsidR="0063309D" w:rsidRDefault="0063309D">
      <w:pPr>
        <w:ind w:right="-1"/>
        <w:jc w:val="both"/>
        <w:rPr>
          <w:rFonts w:cs="Arial"/>
          <w:sz w:val="20"/>
          <w:lang w:val="fr-CH"/>
        </w:rPr>
      </w:pPr>
    </w:p>
    <w:p w14:paraId="6D15B136" w14:textId="77777777" w:rsidR="00410DDE" w:rsidRPr="00204855" w:rsidRDefault="00410DDE">
      <w:pPr>
        <w:ind w:right="-1"/>
        <w:jc w:val="both"/>
        <w:rPr>
          <w:rFonts w:cs="Arial"/>
          <w:sz w:val="20"/>
          <w:lang w:val="fr-CH"/>
        </w:rPr>
      </w:pPr>
    </w:p>
    <w:p w14:paraId="4EBEAB17" w14:textId="6DC9877B" w:rsidR="00BF50F7" w:rsidRPr="00204855" w:rsidRDefault="00525D20">
      <w:pPr>
        <w:ind w:right="-1"/>
        <w:jc w:val="both"/>
        <w:rPr>
          <w:rFonts w:cs="Arial"/>
          <w:b/>
          <w:sz w:val="20"/>
          <w:lang w:val="fr-CH"/>
        </w:rPr>
      </w:pPr>
      <w:r w:rsidRPr="00204855">
        <w:rPr>
          <w:rFonts w:cs="Arial"/>
          <w:b/>
          <w:sz w:val="20"/>
          <w:lang w:val="fr-CH"/>
        </w:rPr>
        <w:t>8</w:t>
      </w:r>
      <w:r w:rsidR="0088258B" w:rsidRPr="00204855">
        <w:rPr>
          <w:rFonts w:cs="Arial"/>
          <w:b/>
          <w:sz w:val="20"/>
          <w:lang w:val="fr-CH"/>
        </w:rPr>
        <w:t xml:space="preserve">. </w:t>
      </w:r>
      <w:r w:rsidR="00C65F0D" w:rsidRPr="00204855">
        <w:rPr>
          <w:rFonts w:cs="Arial"/>
          <w:b/>
          <w:sz w:val="20"/>
          <w:lang w:val="fr-CH"/>
        </w:rPr>
        <w:t>Contrôle de l'utilisation des fonds</w:t>
      </w:r>
    </w:p>
    <w:p w14:paraId="03B66A13" w14:textId="77777777" w:rsidR="00F36725" w:rsidRPr="00204855" w:rsidRDefault="00F36725">
      <w:pPr>
        <w:ind w:right="-1"/>
        <w:jc w:val="both"/>
        <w:rPr>
          <w:rFonts w:cs="Arial"/>
          <w:sz w:val="20"/>
          <w:lang w:val="fr-CH"/>
        </w:rPr>
      </w:pPr>
    </w:p>
    <w:p w14:paraId="081010C8" w14:textId="2A7D3FAB" w:rsidR="00F36725" w:rsidRPr="00204855" w:rsidRDefault="00C65F0D">
      <w:pPr>
        <w:ind w:right="-1"/>
        <w:jc w:val="both"/>
        <w:rPr>
          <w:rFonts w:cs="Arial"/>
          <w:sz w:val="20"/>
          <w:lang w:val="fr-CH"/>
        </w:rPr>
      </w:pPr>
      <w:r w:rsidRPr="00204855">
        <w:rPr>
          <w:rFonts w:cs="Arial"/>
          <w:sz w:val="20"/>
          <w:lang w:val="fr-CH"/>
        </w:rPr>
        <w:t xml:space="preserve">La </w:t>
      </w:r>
      <w:r w:rsidRPr="00204855">
        <w:rPr>
          <w:rFonts w:cs="Arial"/>
          <w:sz w:val="20"/>
          <w:highlight w:val="yellow"/>
          <w:lang w:val="fr-CH"/>
        </w:rPr>
        <w:t>direction</w:t>
      </w:r>
      <w:r w:rsidRPr="00204855">
        <w:rPr>
          <w:rFonts w:cs="Arial"/>
          <w:sz w:val="20"/>
          <w:lang w:val="fr-CH"/>
        </w:rPr>
        <w:t xml:space="preserve"> rend compte annuellement au </w:t>
      </w:r>
      <w:r w:rsidR="00410DDE">
        <w:rPr>
          <w:rFonts w:cs="Arial"/>
          <w:sz w:val="20"/>
          <w:highlight w:val="yellow"/>
          <w:lang w:val="fr-CH"/>
        </w:rPr>
        <w:t xml:space="preserve">comité exécutif / </w:t>
      </w:r>
      <w:r w:rsidR="00410DDE" w:rsidRPr="00204855">
        <w:rPr>
          <w:rFonts w:cs="Arial"/>
          <w:sz w:val="20"/>
          <w:highlight w:val="yellow"/>
          <w:lang w:val="fr-CH"/>
        </w:rPr>
        <w:t>conseil de fondation</w:t>
      </w:r>
      <w:r w:rsidR="00410DDE" w:rsidRPr="00204855">
        <w:rPr>
          <w:rFonts w:cs="Arial"/>
          <w:sz w:val="20"/>
          <w:lang w:val="fr-CH"/>
        </w:rPr>
        <w:t xml:space="preserve"> </w:t>
      </w:r>
      <w:r w:rsidRPr="00204855">
        <w:rPr>
          <w:rFonts w:cs="Arial"/>
          <w:sz w:val="20"/>
          <w:lang w:val="fr-CH"/>
        </w:rPr>
        <w:t>du solde des fonds et de l'utilisation des fonds conformément à l'objectif. Ce rapport est vérifié dans le cadre de l'audit financier</w:t>
      </w:r>
      <w:r w:rsidR="00F36725" w:rsidRPr="00204855">
        <w:rPr>
          <w:rFonts w:cs="Arial"/>
          <w:sz w:val="20"/>
          <w:lang w:val="fr-CH"/>
        </w:rPr>
        <w:t>.</w:t>
      </w:r>
    </w:p>
    <w:p w14:paraId="6B606CC5" w14:textId="77777777" w:rsidR="00BF50F7" w:rsidRPr="00204855" w:rsidRDefault="00BF50F7">
      <w:pPr>
        <w:ind w:right="-1"/>
        <w:jc w:val="both"/>
        <w:rPr>
          <w:rFonts w:cs="Arial"/>
          <w:sz w:val="20"/>
          <w:lang w:val="fr-CH"/>
        </w:rPr>
      </w:pPr>
    </w:p>
    <w:p w14:paraId="6D39B088" w14:textId="77777777" w:rsidR="00BF50F7" w:rsidRPr="00204855" w:rsidRDefault="00BF50F7">
      <w:pPr>
        <w:ind w:right="-1"/>
        <w:jc w:val="both"/>
        <w:rPr>
          <w:rFonts w:cs="Arial"/>
          <w:sz w:val="20"/>
          <w:lang w:val="fr-CH"/>
        </w:rPr>
      </w:pPr>
    </w:p>
    <w:p w14:paraId="5936520F" w14:textId="7FCF8214" w:rsidR="00F36725" w:rsidRPr="00204855" w:rsidRDefault="0010198A">
      <w:pPr>
        <w:ind w:right="-1"/>
        <w:jc w:val="both"/>
        <w:rPr>
          <w:rFonts w:cs="Arial"/>
          <w:b/>
          <w:sz w:val="20"/>
          <w:lang w:val="fr-CH"/>
        </w:rPr>
      </w:pPr>
      <w:r w:rsidRPr="00204855">
        <w:rPr>
          <w:rFonts w:cs="Arial"/>
          <w:b/>
          <w:sz w:val="20"/>
          <w:lang w:val="fr-CH"/>
        </w:rPr>
        <w:t>9</w:t>
      </w:r>
      <w:r w:rsidR="00F36725" w:rsidRPr="00204855">
        <w:rPr>
          <w:rFonts w:cs="Arial"/>
          <w:b/>
          <w:sz w:val="20"/>
          <w:lang w:val="fr-CH"/>
        </w:rPr>
        <w:t xml:space="preserve">. </w:t>
      </w:r>
      <w:r w:rsidR="00C65F0D" w:rsidRPr="00204855">
        <w:rPr>
          <w:rFonts w:cs="Arial"/>
          <w:b/>
          <w:sz w:val="20"/>
          <w:lang w:val="fr-CH"/>
        </w:rPr>
        <w:t>Dispositions finales</w:t>
      </w:r>
    </w:p>
    <w:p w14:paraId="13F6DEA5" w14:textId="77777777" w:rsidR="00F36725" w:rsidRPr="00204855" w:rsidRDefault="00F36725">
      <w:pPr>
        <w:ind w:right="-1"/>
        <w:jc w:val="both"/>
        <w:rPr>
          <w:rFonts w:cs="Arial"/>
          <w:sz w:val="20"/>
          <w:lang w:val="fr-CH"/>
        </w:rPr>
      </w:pPr>
    </w:p>
    <w:p w14:paraId="19A2FEC2" w14:textId="4DF5E279" w:rsidR="002A094A" w:rsidRPr="00204855" w:rsidRDefault="00C65F0D">
      <w:pPr>
        <w:ind w:right="-1"/>
        <w:jc w:val="both"/>
        <w:rPr>
          <w:rFonts w:cs="Arial"/>
          <w:sz w:val="20"/>
          <w:lang w:val="fr-CH"/>
        </w:rPr>
      </w:pPr>
      <w:r w:rsidRPr="00204855">
        <w:rPr>
          <w:rFonts w:cs="Arial"/>
          <w:sz w:val="20"/>
          <w:lang w:val="fr-CH"/>
        </w:rPr>
        <w:t xml:space="preserve">Le présent règlement a été adopté par le </w:t>
      </w:r>
      <w:r w:rsidR="00410DDE">
        <w:rPr>
          <w:rFonts w:cs="Arial"/>
          <w:sz w:val="20"/>
          <w:highlight w:val="yellow"/>
          <w:lang w:val="fr-CH"/>
        </w:rPr>
        <w:t xml:space="preserve">comité exécutif / </w:t>
      </w:r>
      <w:r w:rsidR="00410DDE" w:rsidRPr="00204855">
        <w:rPr>
          <w:rFonts w:cs="Arial"/>
          <w:sz w:val="20"/>
          <w:highlight w:val="yellow"/>
          <w:lang w:val="fr-CH"/>
        </w:rPr>
        <w:t>conseil de fondation</w:t>
      </w:r>
      <w:r w:rsidR="00410DDE" w:rsidRPr="00204855">
        <w:rPr>
          <w:rFonts w:cs="Arial"/>
          <w:sz w:val="20"/>
          <w:lang w:val="fr-CH"/>
        </w:rPr>
        <w:t xml:space="preserve"> </w:t>
      </w:r>
      <w:r w:rsidRPr="00204855">
        <w:rPr>
          <w:rFonts w:cs="Arial"/>
          <w:sz w:val="20"/>
          <w:lang w:val="fr-CH"/>
        </w:rPr>
        <w:t xml:space="preserve">le </w:t>
      </w:r>
      <w:r w:rsidRPr="00410DDE">
        <w:rPr>
          <w:rFonts w:cs="Arial"/>
          <w:sz w:val="20"/>
          <w:highlight w:val="yellow"/>
          <w:lang w:val="fr-CH"/>
        </w:rPr>
        <w:t>jj</w:t>
      </w:r>
      <w:r w:rsidR="005B14EC" w:rsidRPr="00410DDE">
        <w:rPr>
          <w:rFonts w:cs="Arial"/>
          <w:sz w:val="20"/>
          <w:highlight w:val="yellow"/>
          <w:lang w:val="fr-CH"/>
        </w:rPr>
        <w:t>/</w:t>
      </w:r>
      <w:r w:rsidRPr="00410DDE">
        <w:rPr>
          <w:rFonts w:cs="Arial"/>
          <w:sz w:val="20"/>
          <w:highlight w:val="yellow"/>
          <w:lang w:val="fr-CH"/>
        </w:rPr>
        <w:t>mm</w:t>
      </w:r>
      <w:r w:rsidR="005B14EC" w:rsidRPr="00410DDE">
        <w:rPr>
          <w:rFonts w:cs="Arial"/>
          <w:sz w:val="20"/>
          <w:highlight w:val="yellow"/>
          <w:lang w:val="fr-CH"/>
        </w:rPr>
        <w:t>/</w:t>
      </w:r>
      <w:proofErr w:type="spellStart"/>
      <w:r w:rsidRPr="00410DDE">
        <w:rPr>
          <w:rFonts w:cs="Arial"/>
          <w:sz w:val="20"/>
          <w:highlight w:val="yellow"/>
          <w:lang w:val="fr-CH"/>
        </w:rPr>
        <w:t>aaaa</w:t>
      </w:r>
      <w:proofErr w:type="spellEnd"/>
      <w:r w:rsidRPr="00204855">
        <w:rPr>
          <w:rFonts w:cs="Arial"/>
          <w:sz w:val="20"/>
          <w:lang w:val="fr-CH"/>
        </w:rPr>
        <w:t xml:space="preserve">. Il entre en vigueur </w:t>
      </w:r>
      <w:r w:rsidRPr="00204855">
        <w:rPr>
          <w:rFonts w:cs="Arial"/>
          <w:sz w:val="20"/>
          <w:highlight w:val="yellow"/>
          <w:lang w:val="fr-CH"/>
        </w:rPr>
        <w:t xml:space="preserve">immédiatement </w:t>
      </w:r>
      <w:r w:rsidRPr="00204855">
        <w:rPr>
          <w:rFonts w:cs="Arial"/>
          <w:i/>
          <w:iCs/>
          <w:sz w:val="20"/>
          <w:highlight w:val="yellow"/>
          <w:u w:val="single"/>
          <w:lang w:val="fr-CH"/>
        </w:rPr>
        <w:t>OU</w:t>
      </w:r>
      <w:r w:rsidRPr="00204855">
        <w:rPr>
          <w:rFonts w:cs="Arial"/>
          <w:sz w:val="20"/>
          <w:highlight w:val="yellow"/>
          <w:lang w:val="fr-CH"/>
        </w:rPr>
        <w:t xml:space="preserve"> le 1er janvier 2022</w:t>
      </w:r>
      <w:r w:rsidRPr="00204855">
        <w:rPr>
          <w:rFonts w:cs="Arial"/>
          <w:sz w:val="20"/>
          <w:lang w:val="fr-CH"/>
        </w:rPr>
        <w:t>.</w:t>
      </w:r>
    </w:p>
    <w:p w14:paraId="1D140F7A" w14:textId="77777777" w:rsidR="002A094A" w:rsidRPr="00204855" w:rsidRDefault="002A094A">
      <w:pPr>
        <w:ind w:right="-1"/>
        <w:jc w:val="both"/>
        <w:rPr>
          <w:rFonts w:cs="Arial"/>
          <w:sz w:val="20"/>
          <w:lang w:val="fr-CH"/>
        </w:rPr>
      </w:pPr>
    </w:p>
    <w:p w14:paraId="25A286BD" w14:textId="49EA290B" w:rsidR="00613B74" w:rsidRPr="00204855" w:rsidRDefault="00C65F0D">
      <w:pPr>
        <w:ind w:right="-1"/>
        <w:jc w:val="both"/>
        <w:rPr>
          <w:rFonts w:cs="Arial"/>
          <w:sz w:val="20"/>
          <w:lang w:val="fr-CH"/>
        </w:rPr>
      </w:pPr>
      <w:r w:rsidRPr="00204855">
        <w:rPr>
          <w:rFonts w:cs="Arial"/>
          <w:sz w:val="20"/>
          <w:highlight w:val="yellow"/>
          <w:lang w:val="fr-CH"/>
        </w:rPr>
        <w:t>Lieu, jj</w:t>
      </w:r>
      <w:r w:rsidR="00C55596" w:rsidRPr="00204855">
        <w:rPr>
          <w:rFonts w:cs="Arial"/>
          <w:sz w:val="20"/>
          <w:highlight w:val="yellow"/>
          <w:lang w:val="fr-CH"/>
        </w:rPr>
        <w:t>/</w:t>
      </w:r>
      <w:r w:rsidRPr="00204855">
        <w:rPr>
          <w:rFonts w:cs="Arial"/>
          <w:sz w:val="20"/>
          <w:highlight w:val="yellow"/>
          <w:lang w:val="fr-CH"/>
        </w:rPr>
        <w:t>mm</w:t>
      </w:r>
      <w:r w:rsidR="00C55596" w:rsidRPr="00204855">
        <w:rPr>
          <w:rFonts w:cs="Arial"/>
          <w:sz w:val="20"/>
          <w:highlight w:val="yellow"/>
          <w:lang w:val="fr-CH"/>
        </w:rPr>
        <w:t>/</w:t>
      </w:r>
      <w:proofErr w:type="spellStart"/>
      <w:r w:rsidRPr="00204855">
        <w:rPr>
          <w:rFonts w:cs="Arial"/>
          <w:sz w:val="20"/>
          <w:highlight w:val="yellow"/>
          <w:lang w:val="fr-CH"/>
        </w:rPr>
        <w:t>aaaa</w:t>
      </w:r>
      <w:proofErr w:type="spellEnd"/>
    </w:p>
    <w:p w14:paraId="6717C076" w14:textId="77777777" w:rsidR="00613B74" w:rsidRPr="00204855" w:rsidRDefault="00613B74">
      <w:pPr>
        <w:ind w:right="-1"/>
        <w:jc w:val="both"/>
        <w:rPr>
          <w:rFonts w:cs="Arial"/>
          <w:sz w:val="20"/>
          <w:lang w:val="fr-CH"/>
        </w:rPr>
      </w:pPr>
    </w:p>
    <w:p w14:paraId="153F4F1E" w14:textId="5C633C3D" w:rsidR="002A094A" w:rsidRPr="00204855" w:rsidRDefault="00C65F0D">
      <w:pPr>
        <w:ind w:right="-1"/>
        <w:jc w:val="both"/>
        <w:rPr>
          <w:rFonts w:cs="Arial"/>
          <w:sz w:val="20"/>
          <w:lang w:val="fr-CH"/>
        </w:rPr>
      </w:pPr>
      <w:r w:rsidRPr="00204855">
        <w:rPr>
          <w:rFonts w:cs="Arial"/>
          <w:sz w:val="20"/>
          <w:highlight w:val="yellow"/>
          <w:lang w:val="fr-CH"/>
        </w:rPr>
        <w:t>Institution XXX</w:t>
      </w:r>
    </w:p>
    <w:p w14:paraId="38CADE68" w14:textId="77777777" w:rsidR="00F36725" w:rsidRPr="00204855" w:rsidRDefault="00F36725">
      <w:pPr>
        <w:ind w:right="-1"/>
        <w:jc w:val="both"/>
        <w:rPr>
          <w:rFonts w:cs="Arial"/>
          <w:sz w:val="20"/>
          <w:lang w:val="fr-CH"/>
        </w:rPr>
      </w:pPr>
    </w:p>
    <w:p w14:paraId="59C31193" w14:textId="77777777" w:rsidR="00F36725" w:rsidRPr="00204855" w:rsidRDefault="00F36725">
      <w:pPr>
        <w:ind w:right="-1"/>
        <w:jc w:val="both"/>
        <w:rPr>
          <w:rFonts w:cs="Arial"/>
          <w:sz w:val="20"/>
          <w:lang w:val="fr-CH"/>
        </w:rPr>
      </w:pPr>
    </w:p>
    <w:p w14:paraId="0E8A51A1" w14:textId="141FD1CD" w:rsidR="0003341C" w:rsidRPr="00204855" w:rsidRDefault="00C65F0D" w:rsidP="002A094A">
      <w:pPr>
        <w:ind w:right="-1"/>
        <w:jc w:val="both"/>
        <w:rPr>
          <w:rFonts w:cs="Arial"/>
          <w:sz w:val="20"/>
          <w:lang w:val="fr-CH"/>
        </w:rPr>
      </w:pPr>
      <w:r w:rsidRPr="00204855">
        <w:rPr>
          <w:rFonts w:cs="Arial"/>
          <w:sz w:val="20"/>
          <w:lang w:val="fr-CH"/>
        </w:rPr>
        <w:t>Le/la président(e)</w:t>
      </w:r>
      <w:r w:rsidR="00C55596" w:rsidRPr="00204855">
        <w:rPr>
          <w:rFonts w:cs="Arial"/>
          <w:sz w:val="20"/>
          <w:lang w:val="fr-CH"/>
        </w:rPr>
        <w:t> :</w:t>
      </w:r>
      <w:r w:rsidR="00F36725" w:rsidRPr="00204855">
        <w:rPr>
          <w:rFonts w:cs="Arial"/>
          <w:sz w:val="20"/>
          <w:lang w:val="fr-CH"/>
        </w:rPr>
        <w:tab/>
      </w:r>
      <w:r w:rsidR="00F36725" w:rsidRPr="00204855">
        <w:rPr>
          <w:rFonts w:cs="Arial"/>
          <w:sz w:val="20"/>
          <w:lang w:val="fr-CH"/>
        </w:rPr>
        <w:tab/>
      </w:r>
      <w:r w:rsidR="00F36725" w:rsidRPr="00204855">
        <w:rPr>
          <w:rFonts w:cs="Arial"/>
          <w:sz w:val="20"/>
          <w:lang w:val="fr-CH"/>
        </w:rPr>
        <w:tab/>
      </w:r>
      <w:r w:rsidR="00F36725" w:rsidRPr="00204855">
        <w:rPr>
          <w:rFonts w:cs="Arial"/>
          <w:sz w:val="20"/>
          <w:lang w:val="fr-CH"/>
        </w:rPr>
        <w:tab/>
      </w:r>
      <w:r w:rsidRPr="00204855">
        <w:rPr>
          <w:rFonts w:cs="Arial"/>
          <w:sz w:val="20"/>
          <w:lang w:val="fr-CH"/>
        </w:rPr>
        <w:t>Le/la vice-président(e)</w:t>
      </w:r>
      <w:r w:rsidR="00C55596" w:rsidRPr="00204855">
        <w:rPr>
          <w:rFonts w:cs="Arial"/>
          <w:sz w:val="20"/>
          <w:lang w:val="fr-CH"/>
        </w:rPr>
        <w:t> :</w:t>
      </w:r>
    </w:p>
    <w:p w14:paraId="6639D62D" w14:textId="15EBD91E" w:rsidR="0003341C" w:rsidRPr="00204855" w:rsidRDefault="0003341C" w:rsidP="002A094A">
      <w:pPr>
        <w:ind w:right="-1"/>
        <w:jc w:val="both"/>
        <w:rPr>
          <w:rFonts w:cs="Arial"/>
          <w:sz w:val="23"/>
          <w:szCs w:val="23"/>
          <w:lang w:val="fr-CH"/>
        </w:rPr>
      </w:pPr>
    </w:p>
    <w:p w14:paraId="13F50115" w14:textId="39374A69" w:rsidR="0003341C" w:rsidRPr="00204855" w:rsidRDefault="0003341C" w:rsidP="002A094A">
      <w:pPr>
        <w:ind w:right="-1"/>
        <w:jc w:val="both"/>
        <w:rPr>
          <w:rFonts w:cs="Arial"/>
          <w:sz w:val="23"/>
          <w:szCs w:val="23"/>
          <w:lang w:val="fr-CH"/>
        </w:rPr>
      </w:pPr>
    </w:p>
    <w:p w14:paraId="192E7870" w14:textId="26CF0F72" w:rsidR="0003341C" w:rsidRPr="00204855" w:rsidRDefault="0003341C" w:rsidP="002A094A">
      <w:pPr>
        <w:ind w:right="-1"/>
        <w:jc w:val="both"/>
        <w:rPr>
          <w:rFonts w:cs="Arial"/>
          <w:sz w:val="23"/>
          <w:szCs w:val="23"/>
          <w:lang w:val="fr-CH"/>
        </w:rPr>
      </w:pPr>
    </w:p>
    <w:p w14:paraId="70904913" w14:textId="6A5054BD" w:rsidR="0003341C" w:rsidRPr="00204855" w:rsidRDefault="0003341C" w:rsidP="002A094A">
      <w:pPr>
        <w:ind w:right="-1"/>
        <w:jc w:val="both"/>
        <w:rPr>
          <w:rFonts w:cs="Arial"/>
          <w:sz w:val="23"/>
          <w:szCs w:val="23"/>
          <w:lang w:val="fr-CH"/>
        </w:rPr>
      </w:pPr>
    </w:p>
    <w:p w14:paraId="26CFB3CC" w14:textId="09316A7C" w:rsidR="0003341C" w:rsidRPr="00204855" w:rsidRDefault="0003341C" w:rsidP="002A094A">
      <w:pPr>
        <w:ind w:right="-1"/>
        <w:jc w:val="both"/>
        <w:rPr>
          <w:rFonts w:cs="Arial"/>
          <w:sz w:val="23"/>
          <w:szCs w:val="23"/>
          <w:lang w:val="fr-CH"/>
        </w:rPr>
      </w:pPr>
    </w:p>
    <w:p w14:paraId="47CED490" w14:textId="64BD7705" w:rsidR="0003341C" w:rsidRPr="00204855" w:rsidRDefault="0003341C" w:rsidP="002A094A">
      <w:pPr>
        <w:ind w:right="-1"/>
        <w:jc w:val="both"/>
        <w:rPr>
          <w:rFonts w:cs="Arial"/>
          <w:sz w:val="23"/>
          <w:szCs w:val="23"/>
          <w:lang w:val="fr-CH"/>
        </w:rPr>
      </w:pPr>
    </w:p>
    <w:p w14:paraId="538BEB6F" w14:textId="39D3DB64" w:rsidR="0003341C" w:rsidRPr="00204855" w:rsidRDefault="0003341C" w:rsidP="002A094A">
      <w:pPr>
        <w:ind w:right="-1"/>
        <w:jc w:val="both"/>
        <w:rPr>
          <w:rFonts w:cs="Arial"/>
          <w:sz w:val="23"/>
          <w:szCs w:val="23"/>
          <w:lang w:val="fr-CH"/>
        </w:rPr>
      </w:pPr>
    </w:p>
    <w:p w14:paraId="0F944B8C" w14:textId="4722E086" w:rsidR="0003341C" w:rsidRPr="00204855" w:rsidRDefault="0003341C" w:rsidP="002A094A">
      <w:pPr>
        <w:ind w:right="-1"/>
        <w:jc w:val="both"/>
        <w:rPr>
          <w:rFonts w:cs="Arial"/>
          <w:sz w:val="23"/>
          <w:szCs w:val="23"/>
          <w:lang w:val="fr-CH"/>
        </w:rPr>
      </w:pPr>
    </w:p>
    <w:p w14:paraId="200C4408" w14:textId="77777777" w:rsidR="0003341C" w:rsidRPr="00204855" w:rsidRDefault="0003341C" w:rsidP="002A094A">
      <w:pPr>
        <w:ind w:right="-1"/>
        <w:jc w:val="both"/>
        <w:rPr>
          <w:rFonts w:cs="Arial"/>
          <w:sz w:val="23"/>
          <w:szCs w:val="23"/>
          <w:lang w:val="fr-CH"/>
        </w:rPr>
      </w:pPr>
    </w:p>
    <w:p w14:paraId="2CD1AD23" w14:textId="77777777" w:rsidR="0003341C" w:rsidRPr="00204855" w:rsidRDefault="0003341C" w:rsidP="0003341C">
      <w:pPr>
        <w:rPr>
          <w:rFonts w:cs="Arial"/>
          <w:szCs w:val="16"/>
          <w:lang w:val="fr-CH"/>
        </w:rPr>
      </w:pPr>
    </w:p>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2"/>
        <w:gridCol w:w="987"/>
        <w:gridCol w:w="3594"/>
        <w:gridCol w:w="1842"/>
        <w:gridCol w:w="1842"/>
      </w:tblGrid>
      <w:tr w:rsidR="0003341C" w:rsidRPr="00204855" w14:paraId="062D8E74" w14:textId="77777777" w:rsidTr="00C41E90">
        <w:tc>
          <w:tcPr>
            <w:tcW w:w="988" w:type="dxa"/>
          </w:tcPr>
          <w:p w14:paraId="02EBEC50" w14:textId="24917A6B" w:rsidR="0003341C" w:rsidRPr="00204855" w:rsidRDefault="0003341C" w:rsidP="00C41E90">
            <w:pPr>
              <w:rPr>
                <w:rFonts w:cs="Arial"/>
                <w:color w:val="808080" w:themeColor="background1" w:themeShade="80"/>
                <w:sz w:val="12"/>
                <w:szCs w:val="12"/>
                <w:lang w:val="fr-CH"/>
              </w:rPr>
            </w:pPr>
            <w:r w:rsidRPr="00204855">
              <w:rPr>
                <w:rFonts w:cs="Arial"/>
                <w:color w:val="808080" w:themeColor="background1" w:themeShade="80"/>
                <w:sz w:val="12"/>
                <w:szCs w:val="12"/>
                <w:lang w:val="fr-CH"/>
              </w:rPr>
              <w:t>Do</w:t>
            </w:r>
            <w:r w:rsidR="00C65F0D" w:rsidRPr="00204855">
              <w:rPr>
                <w:rFonts w:cs="Arial"/>
                <w:color w:val="808080" w:themeColor="background1" w:themeShade="80"/>
                <w:sz w:val="12"/>
                <w:szCs w:val="12"/>
                <w:lang w:val="fr-CH"/>
              </w:rPr>
              <w:t>c n°</w:t>
            </w:r>
            <w:r w:rsidR="00C55596" w:rsidRPr="00204855">
              <w:rPr>
                <w:rFonts w:cs="Arial"/>
                <w:color w:val="808080" w:themeColor="background1" w:themeShade="80"/>
                <w:sz w:val="12"/>
                <w:szCs w:val="12"/>
                <w:lang w:val="fr-CH"/>
              </w:rPr>
              <w:t> :</w:t>
            </w:r>
          </w:p>
        </w:tc>
        <w:tc>
          <w:tcPr>
            <w:tcW w:w="992" w:type="dxa"/>
          </w:tcPr>
          <w:p w14:paraId="2FD56F50" w14:textId="111EAF0F" w:rsidR="0003341C" w:rsidRPr="00204855" w:rsidRDefault="0003341C" w:rsidP="00C41E90">
            <w:pPr>
              <w:rPr>
                <w:rFonts w:cs="Arial"/>
                <w:color w:val="808080" w:themeColor="background1" w:themeShade="80"/>
                <w:sz w:val="12"/>
                <w:szCs w:val="12"/>
                <w:lang w:val="fr-CH"/>
              </w:rPr>
            </w:pPr>
            <w:r w:rsidRPr="00204855">
              <w:rPr>
                <w:rFonts w:cs="Arial"/>
                <w:color w:val="808080" w:themeColor="background1" w:themeShade="80"/>
                <w:sz w:val="12"/>
                <w:szCs w:val="12"/>
                <w:lang w:val="fr-CH"/>
              </w:rPr>
              <w:t>506.01.</w:t>
            </w:r>
            <w:r w:rsidR="008B0C41">
              <w:rPr>
                <w:rFonts w:cs="Arial"/>
                <w:color w:val="808080" w:themeColor="background1" w:themeShade="80"/>
                <w:sz w:val="12"/>
                <w:szCs w:val="12"/>
                <w:lang w:val="fr-CH"/>
              </w:rPr>
              <w:t>fr</w:t>
            </w:r>
          </w:p>
        </w:tc>
        <w:tc>
          <w:tcPr>
            <w:tcW w:w="3711" w:type="dxa"/>
            <w:tcBorders>
              <w:top w:val="nil"/>
              <w:bottom w:val="nil"/>
              <w:right w:val="nil"/>
            </w:tcBorders>
          </w:tcPr>
          <w:p w14:paraId="2A1C1706" w14:textId="77777777" w:rsidR="0003341C" w:rsidRPr="00204855" w:rsidRDefault="0003341C" w:rsidP="00C41E90">
            <w:pPr>
              <w:rPr>
                <w:rFonts w:cs="Arial"/>
                <w:color w:val="808080" w:themeColor="background1" w:themeShade="80"/>
                <w:sz w:val="12"/>
                <w:szCs w:val="12"/>
                <w:lang w:val="fr-CH"/>
              </w:rPr>
            </w:pPr>
          </w:p>
        </w:tc>
        <w:tc>
          <w:tcPr>
            <w:tcW w:w="1898" w:type="dxa"/>
            <w:tcBorders>
              <w:top w:val="nil"/>
              <w:left w:val="nil"/>
              <w:bottom w:val="nil"/>
              <w:right w:val="nil"/>
            </w:tcBorders>
          </w:tcPr>
          <w:p w14:paraId="12AC0C30" w14:textId="77777777" w:rsidR="0003341C" w:rsidRPr="00204855" w:rsidRDefault="0003341C" w:rsidP="00C41E90">
            <w:pPr>
              <w:rPr>
                <w:rFonts w:cs="Arial"/>
                <w:color w:val="808080" w:themeColor="background1" w:themeShade="80"/>
                <w:sz w:val="12"/>
                <w:szCs w:val="12"/>
                <w:lang w:val="fr-CH"/>
              </w:rPr>
            </w:pPr>
          </w:p>
        </w:tc>
        <w:tc>
          <w:tcPr>
            <w:tcW w:w="1898" w:type="dxa"/>
            <w:tcBorders>
              <w:top w:val="nil"/>
              <w:left w:val="nil"/>
              <w:bottom w:val="nil"/>
              <w:right w:val="nil"/>
            </w:tcBorders>
          </w:tcPr>
          <w:p w14:paraId="6D5C3A18" w14:textId="77777777" w:rsidR="0003341C" w:rsidRPr="00204855" w:rsidRDefault="0003341C" w:rsidP="00C41E90">
            <w:pPr>
              <w:rPr>
                <w:rFonts w:cs="Arial"/>
                <w:color w:val="808080" w:themeColor="background1" w:themeShade="80"/>
                <w:sz w:val="12"/>
                <w:szCs w:val="12"/>
                <w:lang w:val="fr-CH"/>
              </w:rPr>
            </w:pPr>
          </w:p>
        </w:tc>
      </w:tr>
      <w:tr w:rsidR="0003341C" w:rsidRPr="00204855" w14:paraId="535D8181" w14:textId="77777777" w:rsidTr="00C41E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BEA2A1" w14:textId="7C121C21" w:rsidR="0003341C" w:rsidRPr="00204855" w:rsidRDefault="0003341C" w:rsidP="00C41E90">
            <w:pPr>
              <w:rPr>
                <w:rFonts w:cs="Arial"/>
                <w:color w:val="808080" w:themeColor="background1" w:themeShade="80"/>
                <w:sz w:val="12"/>
                <w:szCs w:val="12"/>
                <w:lang w:val="fr-CH"/>
              </w:rPr>
            </w:pPr>
            <w:r w:rsidRPr="00204855">
              <w:rPr>
                <w:rFonts w:cs="Arial"/>
                <w:color w:val="808080" w:themeColor="background1" w:themeShade="80"/>
                <w:sz w:val="12"/>
                <w:szCs w:val="12"/>
                <w:lang w:val="fr-CH"/>
              </w:rPr>
              <w:t>Dat</w:t>
            </w:r>
            <w:r w:rsidR="00115DB9" w:rsidRPr="00204855">
              <w:rPr>
                <w:rFonts w:cs="Arial"/>
                <w:color w:val="808080" w:themeColor="background1" w:themeShade="80"/>
                <w:sz w:val="12"/>
                <w:szCs w:val="12"/>
                <w:lang w:val="fr-CH"/>
              </w:rPr>
              <w:t>e</w:t>
            </w:r>
            <w:r w:rsidR="00C55596" w:rsidRPr="00204855">
              <w:rPr>
                <w:rFonts w:cs="Arial"/>
                <w:color w:val="808080" w:themeColor="background1" w:themeShade="80"/>
                <w:sz w:val="12"/>
                <w:szCs w:val="12"/>
                <w:lang w:val="fr-CH"/>
              </w:rPr>
              <w:t>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71AD97" w14:textId="1EFF50B8" w:rsidR="0003341C" w:rsidRPr="00204855" w:rsidRDefault="0003341C" w:rsidP="00C41E90">
            <w:pPr>
              <w:rPr>
                <w:rFonts w:cs="Arial"/>
                <w:color w:val="808080" w:themeColor="background1" w:themeShade="80"/>
                <w:sz w:val="12"/>
                <w:szCs w:val="12"/>
                <w:lang w:val="fr-CH"/>
              </w:rPr>
            </w:pPr>
            <w:r w:rsidRPr="00204855">
              <w:rPr>
                <w:rFonts w:cs="Arial"/>
                <w:color w:val="808080" w:themeColor="background1" w:themeShade="80"/>
                <w:sz w:val="12"/>
                <w:szCs w:val="12"/>
                <w:lang w:val="fr-CH"/>
              </w:rPr>
              <w:t>22.</w:t>
            </w:r>
            <w:r w:rsidR="00115DB9" w:rsidRPr="00204855">
              <w:rPr>
                <w:rFonts w:cs="Arial"/>
                <w:color w:val="808080" w:themeColor="background1" w:themeShade="80"/>
                <w:sz w:val="12"/>
                <w:szCs w:val="12"/>
                <w:lang w:val="fr-CH"/>
              </w:rPr>
              <w:t>/</w:t>
            </w:r>
            <w:r w:rsidRPr="00204855">
              <w:rPr>
                <w:rFonts w:cs="Arial"/>
                <w:color w:val="808080" w:themeColor="background1" w:themeShade="80"/>
                <w:sz w:val="12"/>
                <w:szCs w:val="12"/>
                <w:lang w:val="fr-CH"/>
              </w:rPr>
              <w:t>10</w:t>
            </w:r>
            <w:r w:rsidR="00115DB9" w:rsidRPr="00204855">
              <w:rPr>
                <w:rFonts w:cs="Arial"/>
                <w:color w:val="808080" w:themeColor="background1" w:themeShade="80"/>
                <w:sz w:val="12"/>
                <w:szCs w:val="12"/>
                <w:lang w:val="fr-CH"/>
              </w:rPr>
              <w:t>/</w:t>
            </w:r>
            <w:r w:rsidRPr="00204855">
              <w:rPr>
                <w:rFonts w:cs="Arial"/>
                <w:color w:val="808080" w:themeColor="background1" w:themeShade="80"/>
                <w:sz w:val="12"/>
                <w:szCs w:val="12"/>
                <w:lang w:val="fr-CH"/>
              </w:rPr>
              <w:t>2021</w:t>
            </w:r>
          </w:p>
        </w:tc>
        <w:tc>
          <w:tcPr>
            <w:tcW w:w="3711" w:type="dxa"/>
            <w:tcBorders>
              <w:top w:val="nil"/>
              <w:left w:val="single" w:sz="4" w:space="0" w:color="808080" w:themeColor="background1" w:themeShade="80"/>
              <w:bottom w:val="nil"/>
              <w:right w:val="nil"/>
            </w:tcBorders>
          </w:tcPr>
          <w:p w14:paraId="1C1D4F0D" w14:textId="77777777" w:rsidR="0003341C" w:rsidRPr="00204855" w:rsidRDefault="0003341C" w:rsidP="00C41E90">
            <w:pPr>
              <w:rPr>
                <w:rFonts w:cs="Arial"/>
                <w:color w:val="808080" w:themeColor="background1" w:themeShade="80"/>
                <w:sz w:val="12"/>
                <w:szCs w:val="12"/>
                <w:lang w:val="fr-CH"/>
              </w:rPr>
            </w:pPr>
          </w:p>
        </w:tc>
        <w:tc>
          <w:tcPr>
            <w:tcW w:w="1898" w:type="dxa"/>
            <w:tcBorders>
              <w:top w:val="nil"/>
              <w:left w:val="nil"/>
              <w:bottom w:val="nil"/>
              <w:right w:val="nil"/>
            </w:tcBorders>
          </w:tcPr>
          <w:p w14:paraId="2B6E6D5B" w14:textId="77777777" w:rsidR="0003341C" w:rsidRPr="00204855" w:rsidRDefault="0003341C" w:rsidP="00C41E90">
            <w:pPr>
              <w:rPr>
                <w:rFonts w:cs="Arial"/>
                <w:color w:val="808080" w:themeColor="background1" w:themeShade="80"/>
                <w:sz w:val="12"/>
                <w:szCs w:val="12"/>
                <w:lang w:val="fr-CH"/>
              </w:rPr>
            </w:pPr>
          </w:p>
        </w:tc>
        <w:tc>
          <w:tcPr>
            <w:tcW w:w="1898" w:type="dxa"/>
            <w:tcBorders>
              <w:top w:val="nil"/>
              <w:left w:val="nil"/>
              <w:bottom w:val="nil"/>
              <w:right w:val="nil"/>
            </w:tcBorders>
          </w:tcPr>
          <w:p w14:paraId="46660869" w14:textId="77777777" w:rsidR="0003341C" w:rsidRPr="00204855" w:rsidRDefault="0003341C" w:rsidP="00C41E90">
            <w:pPr>
              <w:rPr>
                <w:rFonts w:cs="Arial"/>
                <w:color w:val="808080" w:themeColor="background1" w:themeShade="80"/>
                <w:sz w:val="12"/>
                <w:szCs w:val="12"/>
                <w:lang w:val="fr-CH"/>
              </w:rPr>
            </w:pPr>
          </w:p>
        </w:tc>
      </w:tr>
    </w:tbl>
    <w:p w14:paraId="453E1824" w14:textId="77777777" w:rsidR="0003341C" w:rsidRPr="00204855" w:rsidRDefault="0003341C" w:rsidP="0003341C">
      <w:pPr>
        <w:rPr>
          <w:sz w:val="2"/>
          <w:szCs w:val="2"/>
          <w:lang w:val="fr-CH"/>
        </w:rPr>
      </w:pPr>
    </w:p>
    <w:p w14:paraId="7A30F497" w14:textId="77777777" w:rsidR="0003341C" w:rsidRPr="00204855" w:rsidRDefault="0003341C" w:rsidP="0003341C">
      <w:pPr>
        <w:rPr>
          <w:rFonts w:cs="Arial"/>
          <w:sz w:val="2"/>
          <w:szCs w:val="2"/>
          <w:lang w:val="fr-CH"/>
        </w:rPr>
      </w:pPr>
    </w:p>
    <w:p w14:paraId="7DCC9734" w14:textId="77777777" w:rsidR="0003341C" w:rsidRPr="00204855" w:rsidRDefault="0003341C" w:rsidP="002A094A">
      <w:pPr>
        <w:ind w:right="-1"/>
        <w:jc w:val="both"/>
        <w:rPr>
          <w:rFonts w:cs="Arial"/>
          <w:sz w:val="23"/>
          <w:szCs w:val="23"/>
          <w:lang w:val="fr-CH"/>
        </w:rPr>
      </w:pPr>
    </w:p>
    <w:p w14:paraId="50BD939E" w14:textId="77777777" w:rsidR="00136D8C" w:rsidRPr="00204855" w:rsidRDefault="00136D8C" w:rsidP="002A094A">
      <w:pPr>
        <w:ind w:right="-1"/>
        <w:jc w:val="both"/>
        <w:rPr>
          <w:rFonts w:cs="Arial"/>
          <w:sz w:val="23"/>
          <w:szCs w:val="23"/>
          <w:lang w:val="fr-CH"/>
        </w:rPr>
      </w:pPr>
    </w:p>
    <w:sectPr w:rsidR="00136D8C" w:rsidRPr="00204855">
      <w:footerReference w:type="default" r:id="rId8"/>
      <w:type w:val="oddPage"/>
      <w:pgSz w:w="11907" w:h="16840" w:code="9"/>
      <w:pgMar w:top="1418" w:right="1134" w:bottom="851" w:left="1531" w:header="72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B99F9" w14:textId="77777777" w:rsidR="00F25DC1" w:rsidRDefault="00F25DC1">
      <w:r>
        <w:separator/>
      </w:r>
    </w:p>
  </w:endnote>
  <w:endnote w:type="continuationSeparator" w:id="0">
    <w:p w14:paraId="49412A71" w14:textId="77777777" w:rsidR="00F25DC1" w:rsidRDefault="00F25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7312E" w14:textId="798597C6" w:rsidR="00F25DC1" w:rsidRPr="00043090" w:rsidRDefault="0003341C" w:rsidP="00043090">
    <w:pPr>
      <w:pStyle w:val="Fuzeile"/>
      <w:jc w:val="center"/>
      <w:rPr>
        <w:sz w:val="16"/>
        <w:szCs w:val="16"/>
      </w:rPr>
    </w:pPr>
    <w:r w:rsidRPr="0003341C">
      <w:rPr>
        <w:sz w:val="16"/>
        <w:szCs w:val="16"/>
      </w:rPr>
      <w:t xml:space="preserve"> </w:t>
    </w:r>
    <w:sdt>
      <w:sdtPr>
        <w:rPr>
          <w:sz w:val="16"/>
          <w:szCs w:val="16"/>
        </w:rPr>
        <w:id w:val="201522630"/>
        <w:docPartObj>
          <w:docPartGallery w:val="Page Numbers (Top of Page)"/>
          <w:docPartUnique/>
        </w:docPartObj>
      </w:sdtPr>
      <w:sdtEndPr/>
      <w:sdtContent>
        <w:r w:rsidRPr="0013313E">
          <w:rPr>
            <w:sz w:val="16"/>
            <w:szCs w:val="16"/>
          </w:rPr>
          <w:fldChar w:fldCharType="begin"/>
        </w:r>
        <w:r w:rsidRPr="0013313E">
          <w:rPr>
            <w:sz w:val="16"/>
            <w:szCs w:val="16"/>
          </w:rPr>
          <w:instrText xml:space="preserve"> PAGE </w:instrText>
        </w:r>
        <w:r w:rsidRPr="0013313E">
          <w:rPr>
            <w:sz w:val="16"/>
            <w:szCs w:val="16"/>
          </w:rPr>
          <w:fldChar w:fldCharType="separate"/>
        </w:r>
        <w:r>
          <w:rPr>
            <w:sz w:val="16"/>
            <w:szCs w:val="16"/>
          </w:rPr>
          <w:t>4</w:t>
        </w:r>
        <w:r w:rsidRPr="0013313E">
          <w:rPr>
            <w:sz w:val="16"/>
            <w:szCs w:val="16"/>
          </w:rPr>
          <w:fldChar w:fldCharType="end"/>
        </w:r>
        <w:r>
          <w:rPr>
            <w:sz w:val="16"/>
            <w:szCs w:val="16"/>
          </w:rPr>
          <w:t xml:space="preserve"> / </w:t>
        </w:r>
        <w:r w:rsidRPr="0013313E">
          <w:rPr>
            <w:sz w:val="16"/>
            <w:szCs w:val="16"/>
          </w:rPr>
          <w:fldChar w:fldCharType="begin"/>
        </w:r>
        <w:r w:rsidRPr="0013313E">
          <w:rPr>
            <w:sz w:val="16"/>
            <w:szCs w:val="16"/>
          </w:rPr>
          <w:instrText xml:space="preserve"> NUMPAGES  </w:instrText>
        </w:r>
        <w:r w:rsidRPr="0013313E">
          <w:rPr>
            <w:sz w:val="16"/>
            <w:szCs w:val="16"/>
          </w:rPr>
          <w:fldChar w:fldCharType="separate"/>
        </w:r>
        <w:r>
          <w:rPr>
            <w:sz w:val="16"/>
            <w:szCs w:val="16"/>
          </w:rPr>
          <w:t>10</w:t>
        </w:r>
        <w:r w:rsidRPr="0013313E">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030F0" w14:textId="77777777" w:rsidR="00F25DC1" w:rsidRDefault="00F25DC1">
      <w:r>
        <w:separator/>
      </w:r>
    </w:p>
  </w:footnote>
  <w:footnote w:type="continuationSeparator" w:id="0">
    <w:p w14:paraId="75A121F4" w14:textId="77777777" w:rsidR="00F25DC1" w:rsidRDefault="00F25DC1">
      <w:r>
        <w:continuationSeparator/>
      </w:r>
    </w:p>
  </w:footnote>
  <w:footnote w:id="1">
    <w:p w14:paraId="5A792C0D" w14:textId="028406D2" w:rsidR="00C55596" w:rsidRPr="0039799F" w:rsidRDefault="00C55596" w:rsidP="00C55596">
      <w:pPr>
        <w:pStyle w:val="Funotentext"/>
        <w:ind w:left="284" w:hanging="284"/>
        <w:rPr>
          <w:sz w:val="16"/>
          <w:szCs w:val="16"/>
          <w:lang w:val="fr-CH"/>
        </w:rPr>
      </w:pPr>
      <w:r w:rsidRPr="00C94974">
        <w:rPr>
          <w:rStyle w:val="Funotenzeichen"/>
          <w:sz w:val="16"/>
          <w:szCs w:val="16"/>
        </w:rPr>
        <w:footnoteRef/>
      </w:r>
      <w:r w:rsidRPr="0039799F">
        <w:rPr>
          <w:sz w:val="16"/>
          <w:szCs w:val="16"/>
          <w:lang w:val="fr-CH"/>
        </w:rPr>
        <w:tab/>
        <w:t>Article 6, paragraphe 1 et article 7, paragraphe 1, points a–d de l‘Ordonnance sur la gestion du patrimoine dans le cadre d'une curatelle ou d'une tutelle du 4 juillet 2012 (OGP ; RS 211.223.11)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6A055B"/>
    <w:multiLevelType w:val="hybridMultilevel"/>
    <w:tmpl w:val="42F64324"/>
    <w:lvl w:ilvl="0" w:tplc="345C3E54">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162DD1"/>
    <w:multiLevelType w:val="hybridMultilevel"/>
    <w:tmpl w:val="D974D5EE"/>
    <w:lvl w:ilvl="0" w:tplc="E3747AC6">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F90973"/>
    <w:multiLevelType w:val="singleLevel"/>
    <w:tmpl w:val="8F16ACEE"/>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899193C"/>
    <w:multiLevelType w:val="hybridMultilevel"/>
    <w:tmpl w:val="B6C4FB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0CEC6F87"/>
    <w:multiLevelType w:val="singleLevel"/>
    <w:tmpl w:val="8F16ACEE"/>
    <w:lvl w:ilvl="0">
      <w:start w:val="1"/>
      <w:numFmt w:val="bullet"/>
      <w:lvlText w:val=""/>
      <w:lvlJc w:val="left"/>
      <w:pPr>
        <w:tabs>
          <w:tab w:val="num" w:pos="397"/>
        </w:tabs>
        <w:ind w:left="397" w:hanging="397"/>
      </w:pPr>
      <w:rPr>
        <w:rFonts w:ascii="Symbol" w:hAnsi="Symbol" w:hint="default"/>
      </w:rPr>
    </w:lvl>
  </w:abstractNum>
  <w:abstractNum w:abstractNumId="6" w15:restartNumberingAfterBreak="0">
    <w:nsid w:val="13863FAB"/>
    <w:multiLevelType w:val="hybridMultilevel"/>
    <w:tmpl w:val="8410EB78"/>
    <w:lvl w:ilvl="0" w:tplc="0FAEDFFA">
      <w:start w:val="1"/>
      <w:numFmt w:val="bullet"/>
      <w:lvlText w:val=""/>
      <w:lvlJc w:val="left"/>
      <w:pPr>
        <w:tabs>
          <w:tab w:val="num" w:pos="1287"/>
        </w:tabs>
        <w:ind w:left="1287" w:hanging="927"/>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4AF322E"/>
    <w:multiLevelType w:val="hybridMultilevel"/>
    <w:tmpl w:val="B1162430"/>
    <w:lvl w:ilvl="0" w:tplc="345C3E54">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413761"/>
    <w:multiLevelType w:val="hybridMultilevel"/>
    <w:tmpl w:val="7166EF24"/>
    <w:lvl w:ilvl="0" w:tplc="345C3E54">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267669"/>
    <w:multiLevelType w:val="hybridMultilevel"/>
    <w:tmpl w:val="B85423B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7A00C8"/>
    <w:multiLevelType w:val="hybridMultilevel"/>
    <w:tmpl w:val="333032CE"/>
    <w:lvl w:ilvl="0" w:tplc="E3747AC6">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24537"/>
    <w:multiLevelType w:val="hybridMultilevel"/>
    <w:tmpl w:val="12FCC3A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4CE1CF8"/>
    <w:multiLevelType w:val="hybridMultilevel"/>
    <w:tmpl w:val="2B7202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4E06E41"/>
    <w:multiLevelType w:val="singleLevel"/>
    <w:tmpl w:val="FFFFFFFF"/>
    <w:lvl w:ilvl="0">
      <w:start w:val="1"/>
      <w:numFmt w:val="bullet"/>
      <w:lvlText w:val=""/>
      <w:legacy w:legacy="1" w:legacySpace="0" w:legacyIndent="283"/>
      <w:lvlJc w:val="left"/>
      <w:pPr>
        <w:ind w:left="284" w:hanging="283"/>
      </w:pPr>
      <w:rPr>
        <w:rFonts w:ascii="Symbol" w:hAnsi="Symbol" w:hint="default"/>
      </w:rPr>
    </w:lvl>
  </w:abstractNum>
  <w:abstractNum w:abstractNumId="14" w15:restartNumberingAfterBreak="0">
    <w:nsid w:val="250B51F7"/>
    <w:multiLevelType w:val="hybridMultilevel"/>
    <w:tmpl w:val="7192529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F25418"/>
    <w:multiLevelType w:val="hybridMultilevel"/>
    <w:tmpl w:val="AB4AB6AC"/>
    <w:lvl w:ilvl="0" w:tplc="E3747AC6">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2518EE"/>
    <w:multiLevelType w:val="hybridMultilevel"/>
    <w:tmpl w:val="4A10D22C"/>
    <w:lvl w:ilvl="0" w:tplc="E3747AC6">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1349E8"/>
    <w:multiLevelType w:val="hybridMultilevel"/>
    <w:tmpl w:val="20220C12"/>
    <w:lvl w:ilvl="0" w:tplc="E3747AC6">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693E7D"/>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2CBB4248"/>
    <w:multiLevelType w:val="hybridMultilevel"/>
    <w:tmpl w:val="F6944210"/>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2E2F6A73"/>
    <w:multiLevelType w:val="hybridMultilevel"/>
    <w:tmpl w:val="985C6916"/>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1" w15:restartNumberingAfterBreak="0">
    <w:nsid w:val="320E06D3"/>
    <w:multiLevelType w:val="hybridMultilevel"/>
    <w:tmpl w:val="0CAC9D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633AD8"/>
    <w:multiLevelType w:val="hybridMultilevel"/>
    <w:tmpl w:val="8410C97A"/>
    <w:lvl w:ilvl="0" w:tplc="E3747AC6">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3B48E2"/>
    <w:multiLevelType w:val="hybridMultilevel"/>
    <w:tmpl w:val="B498C3A8"/>
    <w:lvl w:ilvl="0" w:tplc="E3747AC6">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FE72AD"/>
    <w:multiLevelType w:val="hybridMultilevel"/>
    <w:tmpl w:val="4520483A"/>
    <w:lvl w:ilvl="0" w:tplc="345C3E54">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CA33E1"/>
    <w:multiLevelType w:val="hybridMultilevel"/>
    <w:tmpl w:val="039E229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EE5FD0"/>
    <w:multiLevelType w:val="hybridMultilevel"/>
    <w:tmpl w:val="DD906B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03751E"/>
    <w:multiLevelType w:val="singleLevel"/>
    <w:tmpl w:val="8F16ACEE"/>
    <w:lvl w:ilvl="0">
      <w:start w:val="1"/>
      <w:numFmt w:val="bullet"/>
      <w:lvlText w:val=""/>
      <w:lvlJc w:val="left"/>
      <w:pPr>
        <w:tabs>
          <w:tab w:val="num" w:pos="397"/>
        </w:tabs>
        <w:ind w:left="397" w:hanging="397"/>
      </w:pPr>
      <w:rPr>
        <w:rFonts w:ascii="Symbol" w:hAnsi="Symbol" w:hint="default"/>
      </w:rPr>
    </w:lvl>
  </w:abstractNum>
  <w:abstractNum w:abstractNumId="28" w15:restartNumberingAfterBreak="0">
    <w:nsid w:val="412D2846"/>
    <w:multiLevelType w:val="hybridMultilevel"/>
    <w:tmpl w:val="9C804408"/>
    <w:lvl w:ilvl="0" w:tplc="E3747AC6">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626E2D"/>
    <w:multiLevelType w:val="hybridMultilevel"/>
    <w:tmpl w:val="099E31DC"/>
    <w:lvl w:ilvl="0" w:tplc="E3747AC6">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E0313F"/>
    <w:multiLevelType w:val="hybridMultilevel"/>
    <w:tmpl w:val="E940F6DE"/>
    <w:lvl w:ilvl="0" w:tplc="E3747AC6">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895DED"/>
    <w:multiLevelType w:val="singleLevel"/>
    <w:tmpl w:val="8F16ACEE"/>
    <w:lvl w:ilvl="0">
      <w:start w:val="1"/>
      <w:numFmt w:val="bullet"/>
      <w:lvlText w:val=""/>
      <w:lvlJc w:val="left"/>
      <w:pPr>
        <w:tabs>
          <w:tab w:val="num" w:pos="397"/>
        </w:tabs>
        <w:ind w:left="397" w:hanging="397"/>
      </w:pPr>
      <w:rPr>
        <w:rFonts w:ascii="Symbol" w:hAnsi="Symbol" w:hint="default"/>
      </w:rPr>
    </w:lvl>
  </w:abstractNum>
  <w:abstractNum w:abstractNumId="32" w15:restartNumberingAfterBreak="0">
    <w:nsid w:val="4DF73366"/>
    <w:multiLevelType w:val="hybridMultilevel"/>
    <w:tmpl w:val="B70CBA00"/>
    <w:lvl w:ilvl="0" w:tplc="345C3E54">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7F000D"/>
    <w:multiLevelType w:val="hybridMultilevel"/>
    <w:tmpl w:val="4724C75C"/>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4" w15:restartNumberingAfterBreak="0">
    <w:nsid w:val="56DD1977"/>
    <w:multiLevelType w:val="hybridMultilevel"/>
    <w:tmpl w:val="08889D5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58771F52"/>
    <w:multiLevelType w:val="hybridMultilevel"/>
    <w:tmpl w:val="8D22C73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6" w15:restartNumberingAfterBreak="0">
    <w:nsid w:val="59D218A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F3701A7"/>
    <w:multiLevelType w:val="hybridMultilevel"/>
    <w:tmpl w:val="43384662"/>
    <w:lvl w:ilvl="0" w:tplc="04070009">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62514D"/>
    <w:multiLevelType w:val="hybridMultilevel"/>
    <w:tmpl w:val="D5FCA9D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6DB502B4"/>
    <w:multiLevelType w:val="hybridMultilevel"/>
    <w:tmpl w:val="BDF88B2C"/>
    <w:lvl w:ilvl="0" w:tplc="FFFFFFFF">
      <w:start w:val="1"/>
      <w:numFmt w:val="bullet"/>
      <w:lvlText w:val=""/>
      <w:legacy w:legacy="1" w:legacySpace="0" w:legacyIndent="283"/>
      <w:lvlJc w:val="left"/>
      <w:pPr>
        <w:ind w:left="283"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E83D5D"/>
    <w:multiLevelType w:val="hybridMultilevel"/>
    <w:tmpl w:val="A5CCEEA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B815D8E"/>
    <w:multiLevelType w:val="hybridMultilevel"/>
    <w:tmpl w:val="BC8E350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3"/>
  </w:num>
  <w:num w:numId="3">
    <w:abstractNumId w:val="27"/>
  </w:num>
  <w:num w:numId="4">
    <w:abstractNumId w:val="31"/>
  </w:num>
  <w:num w:numId="5">
    <w:abstractNumId w:val="5"/>
  </w:num>
  <w:num w:numId="6">
    <w:abstractNumId w:val="40"/>
  </w:num>
  <w:num w:numId="7">
    <w:abstractNumId w:val="32"/>
  </w:num>
  <w:num w:numId="8">
    <w:abstractNumId w:val="8"/>
  </w:num>
  <w:num w:numId="9">
    <w:abstractNumId w:val="1"/>
  </w:num>
  <w:num w:numId="10">
    <w:abstractNumId w:val="7"/>
  </w:num>
  <w:num w:numId="11">
    <w:abstractNumId w:val="24"/>
  </w:num>
  <w:num w:numId="12">
    <w:abstractNumId w:val="41"/>
  </w:num>
  <w:num w:numId="13">
    <w:abstractNumId w:val="25"/>
  </w:num>
  <w:num w:numId="14">
    <w:abstractNumId w:val="9"/>
  </w:num>
  <w:num w:numId="15">
    <w:abstractNumId w:val="6"/>
  </w:num>
  <w:num w:numId="16">
    <w:abstractNumId w:val="37"/>
  </w:num>
  <w:num w:numId="17">
    <w:abstractNumId w:val="22"/>
  </w:num>
  <w:num w:numId="18">
    <w:abstractNumId w:val="2"/>
  </w:num>
  <w:num w:numId="19">
    <w:abstractNumId w:val="14"/>
  </w:num>
  <w:num w:numId="20">
    <w:abstractNumId w:val="0"/>
    <w:lvlOverride w:ilvl="0">
      <w:lvl w:ilvl="0">
        <w:start w:val="1"/>
        <w:numFmt w:val="bullet"/>
        <w:lvlText w:val=""/>
        <w:legacy w:legacy="1" w:legacySpace="0" w:legacyIndent="283"/>
        <w:lvlJc w:val="left"/>
        <w:pPr>
          <w:ind w:left="284" w:hanging="283"/>
        </w:pPr>
        <w:rPr>
          <w:rFonts w:ascii="Symbol" w:hAnsi="Symbol" w:hint="default"/>
        </w:rPr>
      </w:lvl>
    </w:lvlOverride>
  </w:num>
  <w:num w:numId="21">
    <w:abstractNumId w:val="18"/>
  </w:num>
  <w:num w:numId="22">
    <w:abstractNumId w:val="13"/>
  </w:num>
  <w:num w:numId="23">
    <w:abstractNumId w:val="39"/>
  </w:num>
  <w:num w:numId="24">
    <w:abstractNumId w:val="29"/>
  </w:num>
  <w:num w:numId="25">
    <w:abstractNumId w:val="10"/>
  </w:num>
  <w:num w:numId="26">
    <w:abstractNumId w:val="16"/>
  </w:num>
  <w:num w:numId="27">
    <w:abstractNumId w:val="28"/>
  </w:num>
  <w:num w:numId="28">
    <w:abstractNumId w:val="17"/>
  </w:num>
  <w:num w:numId="29">
    <w:abstractNumId w:val="30"/>
  </w:num>
  <w:num w:numId="30">
    <w:abstractNumId w:val="15"/>
  </w:num>
  <w:num w:numId="31">
    <w:abstractNumId w:val="23"/>
  </w:num>
  <w:num w:numId="32">
    <w:abstractNumId w:val="11"/>
  </w:num>
  <w:num w:numId="33">
    <w:abstractNumId w:val="26"/>
  </w:num>
  <w:num w:numId="3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5">
    <w:abstractNumId w:val="34"/>
  </w:num>
  <w:num w:numId="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7">
    <w:abstractNumId w:val="38"/>
  </w:num>
  <w:num w:numId="38">
    <w:abstractNumId w:val="21"/>
  </w:num>
  <w:num w:numId="39">
    <w:abstractNumId w:val="4"/>
  </w:num>
  <w:num w:numId="40">
    <w:abstractNumId w:val="35"/>
  </w:num>
  <w:num w:numId="41">
    <w:abstractNumId w:val="20"/>
  </w:num>
  <w:num w:numId="42">
    <w:abstractNumId w:val="33"/>
  </w:num>
  <w:num w:numId="43">
    <w:abstractNumId w:val="12"/>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doNotHyphenateCaps/>
  <w:drawingGridHorizontalSpacing w:val="57"/>
  <w:drawingGridVerticalSpacing w:val="57"/>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0FB"/>
    <w:rsid w:val="0000519D"/>
    <w:rsid w:val="00026E0D"/>
    <w:rsid w:val="00030110"/>
    <w:rsid w:val="0003341C"/>
    <w:rsid w:val="00034830"/>
    <w:rsid w:val="00040E13"/>
    <w:rsid w:val="00043090"/>
    <w:rsid w:val="00063EE9"/>
    <w:rsid w:val="000930CC"/>
    <w:rsid w:val="000A19D1"/>
    <w:rsid w:val="000A6C94"/>
    <w:rsid w:val="000E7317"/>
    <w:rsid w:val="000F4D12"/>
    <w:rsid w:val="00100E58"/>
    <w:rsid w:val="0010198A"/>
    <w:rsid w:val="00115DB9"/>
    <w:rsid w:val="00136D8C"/>
    <w:rsid w:val="0014033B"/>
    <w:rsid w:val="00196946"/>
    <w:rsid w:val="001B66FE"/>
    <w:rsid w:val="001B7776"/>
    <w:rsid w:val="00203E98"/>
    <w:rsid w:val="00204855"/>
    <w:rsid w:val="00226F89"/>
    <w:rsid w:val="00231CB7"/>
    <w:rsid w:val="002417E7"/>
    <w:rsid w:val="00252133"/>
    <w:rsid w:val="00257747"/>
    <w:rsid w:val="00264828"/>
    <w:rsid w:val="00265049"/>
    <w:rsid w:val="00274D90"/>
    <w:rsid w:val="00275C12"/>
    <w:rsid w:val="002A094A"/>
    <w:rsid w:val="002C219F"/>
    <w:rsid w:val="002E2C0F"/>
    <w:rsid w:val="00303ABD"/>
    <w:rsid w:val="003151A5"/>
    <w:rsid w:val="00321C05"/>
    <w:rsid w:val="0032524A"/>
    <w:rsid w:val="0037784E"/>
    <w:rsid w:val="00392E61"/>
    <w:rsid w:val="0039799F"/>
    <w:rsid w:val="003D3343"/>
    <w:rsid w:val="003F75F4"/>
    <w:rsid w:val="00410DDE"/>
    <w:rsid w:val="0041586B"/>
    <w:rsid w:val="00421D6B"/>
    <w:rsid w:val="00422AB8"/>
    <w:rsid w:val="00441392"/>
    <w:rsid w:val="0044726D"/>
    <w:rsid w:val="004923F0"/>
    <w:rsid w:val="004D43EA"/>
    <w:rsid w:val="005035EA"/>
    <w:rsid w:val="00525D20"/>
    <w:rsid w:val="00534A85"/>
    <w:rsid w:val="005423ED"/>
    <w:rsid w:val="005B14EC"/>
    <w:rsid w:val="005C5FD4"/>
    <w:rsid w:val="005C61D5"/>
    <w:rsid w:val="005C6DBC"/>
    <w:rsid w:val="00605A97"/>
    <w:rsid w:val="00613B74"/>
    <w:rsid w:val="0063309D"/>
    <w:rsid w:val="00636FEA"/>
    <w:rsid w:val="00637727"/>
    <w:rsid w:val="00647C76"/>
    <w:rsid w:val="006A31DA"/>
    <w:rsid w:val="006C5C1B"/>
    <w:rsid w:val="006E2329"/>
    <w:rsid w:val="006F2710"/>
    <w:rsid w:val="00726892"/>
    <w:rsid w:val="00740ED9"/>
    <w:rsid w:val="00746124"/>
    <w:rsid w:val="00761828"/>
    <w:rsid w:val="007854DE"/>
    <w:rsid w:val="00791CA5"/>
    <w:rsid w:val="00793B51"/>
    <w:rsid w:val="007A5BB7"/>
    <w:rsid w:val="007E5FDF"/>
    <w:rsid w:val="00846207"/>
    <w:rsid w:val="0088258B"/>
    <w:rsid w:val="00891378"/>
    <w:rsid w:val="00892163"/>
    <w:rsid w:val="008B0C41"/>
    <w:rsid w:val="00930223"/>
    <w:rsid w:val="0099460C"/>
    <w:rsid w:val="009A4E3E"/>
    <w:rsid w:val="009B10FB"/>
    <w:rsid w:val="009B1A75"/>
    <w:rsid w:val="009C7005"/>
    <w:rsid w:val="009D7CCB"/>
    <w:rsid w:val="009E1C53"/>
    <w:rsid w:val="00A026C3"/>
    <w:rsid w:val="00A13474"/>
    <w:rsid w:val="00A94784"/>
    <w:rsid w:val="00B149F1"/>
    <w:rsid w:val="00B26F1F"/>
    <w:rsid w:val="00B503BA"/>
    <w:rsid w:val="00B93132"/>
    <w:rsid w:val="00BD13E8"/>
    <w:rsid w:val="00BD5915"/>
    <w:rsid w:val="00BD7E08"/>
    <w:rsid w:val="00BF50F7"/>
    <w:rsid w:val="00C0176A"/>
    <w:rsid w:val="00C31ED7"/>
    <w:rsid w:val="00C31FB2"/>
    <w:rsid w:val="00C55596"/>
    <w:rsid w:val="00C645AE"/>
    <w:rsid w:val="00C65F0D"/>
    <w:rsid w:val="00C90FA8"/>
    <w:rsid w:val="00C94974"/>
    <w:rsid w:val="00CA2944"/>
    <w:rsid w:val="00D24575"/>
    <w:rsid w:val="00D34305"/>
    <w:rsid w:val="00D529DE"/>
    <w:rsid w:val="00D6657C"/>
    <w:rsid w:val="00DB6F49"/>
    <w:rsid w:val="00E0362A"/>
    <w:rsid w:val="00E05C58"/>
    <w:rsid w:val="00E11DB8"/>
    <w:rsid w:val="00E14FEE"/>
    <w:rsid w:val="00E27D2A"/>
    <w:rsid w:val="00E41F24"/>
    <w:rsid w:val="00E544EA"/>
    <w:rsid w:val="00E94951"/>
    <w:rsid w:val="00EA4695"/>
    <w:rsid w:val="00EB430E"/>
    <w:rsid w:val="00EB7A0C"/>
    <w:rsid w:val="00EE4852"/>
    <w:rsid w:val="00EF5BD6"/>
    <w:rsid w:val="00EF5BDD"/>
    <w:rsid w:val="00F25DC1"/>
    <w:rsid w:val="00F36725"/>
    <w:rsid w:val="00FA0DF8"/>
    <w:rsid w:val="00FA6B8D"/>
    <w:rsid w:val="00FD29E0"/>
    <w:rsid w:val="00FE310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A7D1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94784"/>
    <w:rPr>
      <w:rFonts w:ascii="Arial" w:hAnsi="Arial"/>
      <w:sz w:val="22"/>
      <w:lang w:val="de-DE" w:eastAsia="de-DE"/>
    </w:rPr>
  </w:style>
  <w:style w:type="paragraph" w:styleId="berschrift1">
    <w:name w:val="heading 1"/>
    <w:basedOn w:val="Standard"/>
    <w:next w:val="Standard"/>
    <w:qFormat/>
    <w:pPr>
      <w:keepNext/>
      <w:spacing w:after="200"/>
      <w:ind w:right="567"/>
      <w:outlineLvl w:val="0"/>
    </w:pPr>
    <w:rPr>
      <w:b/>
      <w:sz w:val="28"/>
    </w:rPr>
  </w:style>
  <w:style w:type="paragraph" w:styleId="berschrift2">
    <w:name w:val="heading 2"/>
    <w:basedOn w:val="Standard"/>
    <w:next w:val="Standard"/>
    <w:qFormat/>
    <w:pPr>
      <w:keepNext/>
      <w:ind w:right="-1"/>
      <w:jc w:val="both"/>
      <w:outlineLvl w:val="1"/>
    </w:pPr>
    <w:rPr>
      <w:b/>
      <w:bCs/>
      <w:sz w:val="24"/>
    </w:rPr>
  </w:style>
  <w:style w:type="paragraph" w:styleId="berschrift3">
    <w:name w:val="heading 3"/>
    <w:basedOn w:val="Standard"/>
    <w:next w:val="Standard"/>
    <w:qFormat/>
    <w:pPr>
      <w:keepNext/>
      <w:ind w:right="-1"/>
      <w:jc w:val="both"/>
      <w:outlineLvl w:val="2"/>
    </w:pPr>
    <w:rPr>
      <w:b/>
      <w:bCs/>
      <w:sz w:val="28"/>
    </w:rPr>
  </w:style>
  <w:style w:type="paragraph" w:styleId="berschrift4">
    <w:name w:val="heading 4"/>
    <w:basedOn w:val="Standard"/>
    <w:next w:val="Standard"/>
    <w:qFormat/>
    <w:pPr>
      <w:keepNext/>
      <w:spacing w:after="220"/>
      <w:ind w:left="567" w:hanging="567"/>
      <w:jc w:val="both"/>
      <w:outlineLvl w:val="3"/>
    </w:pPr>
    <w:rPr>
      <w:b/>
      <w:sz w:val="24"/>
      <w:lang w:val="de-CH"/>
    </w:rPr>
  </w:style>
  <w:style w:type="paragraph" w:styleId="berschrift5">
    <w:name w:val="heading 5"/>
    <w:basedOn w:val="Standard"/>
    <w:next w:val="Standard"/>
    <w:qFormat/>
    <w:pPr>
      <w:keepNext/>
      <w:jc w:val="both"/>
      <w:outlineLvl w:val="4"/>
    </w:pPr>
    <w:rPr>
      <w:b/>
      <w:sz w:val="21"/>
      <w:lang w:val="de-CH"/>
    </w:rPr>
  </w:style>
  <w:style w:type="paragraph" w:styleId="berschrift6">
    <w:name w:val="heading 6"/>
    <w:basedOn w:val="Standard"/>
    <w:next w:val="Standard"/>
    <w:qFormat/>
    <w:pPr>
      <w:keepNext/>
      <w:jc w:val="both"/>
      <w:outlineLvl w:val="5"/>
    </w:pPr>
    <w:rPr>
      <w:b/>
    </w:rPr>
  </w:style>
  <w:style w:type="paragraph" w:styleId="berschrift7">
    <w:name w:val="heading 7"/>
    <w:basedOn w:val="Standard"/>
    <w:next w:val="Standard"/>
    <w:qFormat/>
    <w:pPr>
      <w:keepNext/>
      <w:jc w:val="both"/>
      <w:outlineLvl w:val="6"/>
    </w:pPr>
    <w:rPr>
      <w:b/>
      <w:sz w:val="48"/>
    </w:rPr>
  </w:style>
  <w:style w:type="paragraph" w:styleId="berschrift8">
    <w:name w:val="heading 8"/>
    <w:basedOn w:val="Standard"/>
    <w:next w:val="Standard"/>
    <w:qFormat/>
    <w:pPr>
      <w:keepNext/>
      <w:jc w:val="both"/>
      <w:outlineLvl w:val="7"/>
    </w:pPr>
    <w:rPr>
      <w:b/>
      <w:bCs/>
      <w:sz w:val="36"/>
    </w:rPr>
  </w:style>
  <w:style w:type="paragraph" w:styleId="berschrift9">
    <w:name w:val="heading 9"/>
    <w:basedOn w:val="Standard"/>
    <w:next w:val="Standard"/>
    <w:qFormat/>
    <w:pPr>
      <w:keepNext/>
      <w:jc w:val="both"/>
      <w:outlineLvl w:val="8"/>
    </w:pPr>
    <w:rPr>
      <w:b/>
      <w:b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ind w:right="-1418"/>
      <w:jc w:val="both"/>
    </w:pPr>
    <w:rPr>
      <w:sz w:val="24"/>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ind w:right="-1"/>
      <w:jc w:val="both"/>
    </w:pPr>
    <w:rPr>
      <w:sz w:val="24"/>
    </w:rPr>
  </w:style>
  <w:style w:type="paragraph" w:styleId="Index2">
    <w:name w:val="index 2"/>
    <w:basedOn w:val="Standard"/>
    <w:next w:val="Standard"/>
    <w:autoRedefine/>
    <w:semiHidden/>
    <w:pPr>
      <w:tabs>
        <w:tab w:val="right" w:leader="dot" w:pos="4034"/>
      </w:tabs>
      <w:ind w:left="400" w:hanging="200"/>
      <w:jc w:val="both"/>
    </w:pPr>
  </w:style>
  <w:style w:type="paragraph" w:styleId="Index1">
    <w:name w:val="index 1"/>
    <w:basedOn w:val="Standard"/>
    <w:next w:val="Standard"/>
    <w:autoRedefine/>
    <w:semiHidden/>
    <w:pPr>
      <w:tabs>
        <w:tab w:val="right" w:leader="dot" w:pos="4034"/>
      </w:tabs>
      <w:ind w:left="200" w:hanging="200"/>
      <w:jc w:val="both"/>
    </w:pPr>
  </w:style>
  <w:style w:type="paragraph" w:styleId="Index3">
    <w:name w:val="index 3"/>
    <w:basedOn w:val="Standard"/>
    <w:next w:val="Standard"/>
    <w:autoRedefine/>
    <w:semiHidden/>
    <w:pPr>
      <w:tabs>
        <w:tab w:val="right" w:leader="dot" w:pos="4034"/>
      </w:tabs>
      <w:ind w:left="600" w:hanging="200"/>
      <w:jc w:val="both"/>
    </w:pPr>
  </w:style>
  <w:style w:type="paragraph" w:styleId="Index4">
    <w:name w:val="index 4"/>
    <w:basedOn w:val="Standard"/>
    <w:next w:val="Standard"/>
    <w:autoRedefine/>
    <w:semiHidden/>
    <w:pPr>
      <w:tabs>
        <w:tab w:val="right" w:leader="dot" w:pos="4034"/>
      </w:tabs>
      <w:ind w:left="800" w:hanging="200"/>
      <w:jc w:val="both"/>
    </w:pPr>
  </w:style>
  <w:style w:type="paragraph" w:styleId="Index5">
    <w:name w:val="index 5"/>
    <w:basedOn w:val="Standard"/>
    <w:next w:val="Standard"/>
    <w:autoRedefine/>
    <w:semiHidden/>
    <w:pPr>
      <w:tabs>
        <w:tab w:val="right" w:leader="dot" w:pos="4034"/>
      </w:tabs>
      <w:ind w:left="1000" w:hanging="200"/>
      <w:jc w:val="both"/>
    </w:pPr>
  </w:style>
  <w:style w:type="paragraph" w:styleId="Index6">
    <w:name w:val="index 6"/>
    <w:basedOn w:val="Standard"/>
    <w:next w:val="Standard"/>
    <w:autoRedefine/>
    <w:semiHidden/>
    <w:pPr>
      <w:tabs>
        <w:tab w:val="right" w:leader="dot" w:pos="4034"/>
      </w:tabs>
      <w:ind w:left="1200" w:hanging="200"/>
      <w:jc w:val="both"/>
    </w:pPr>
  </w:style>
  <w:style w:type="paragraph" w:styleId="Index7">
    <w:name w:val="index 7"/>
    <w:basedOn w:val="Standard"/>
    <w:next w:val="Standard"/>
    <w:autoRedefine/>
    <w:semiHidden/>
    <w:pPr>
      <w:tabs>
        <w:tab w:val="right" w:leader="dot" w:pos="4034"/>
      </w:tabs>
      <w:ind w:left="1400" w:hanging="200"/>
      <w:jc w:val="both"/>
    </w:pPr>
  </w:style>
  <w:style w:type="paragraph" w:styleId="Index8">
    <w:name w:val="index 8"/>
    <w:basedOn w:val="Standard"/>
    <w:next w:val="Standard"/>
    <w:autoRedefine/>
    <w:semiHidden/>
    <w:pPr>
      <w:tabs>
        <w:tab w:val="right" w:leader="dot" w:pos="4034"/>
      </w:tabs>
      <w:ind w:left="1600" w:hanging="200"/>
      <w:jc w:val="both"/>
    </w:pPr>
  </w:style>
  <w:style w:type="paragraph" w:styleId="Index9">
    <w:name w:val="index 9"/>
    <w:basedOn w:val="Standard"/>
    <w:next w:val="Standard"/>
    <w:autoRedefine/>
    <w:semiHidden/>
    <w:pPr>
      <w:tabs>
        <w:tab w:val="right" w:leader="dot" w:pos="4034"/>
      </w:tabs>
      <w:ind w:left="1800" w:hanging="200"/>
      <w:jc w:val="both"/>
    </w:pPr>
  </w:style>
  <w:style w:type="paragraph" w:styleId="Indexberschrift">
    <w:name w:val="index heading"/>
    <w:basedOn w:val="Standard"/>
    <w:next w:val="Index1"/>
    <w:semiHidden/>
    <w:pPr>
      <w:jc w:val="both"/>
    </w:pPr>
  </w:style>
  <w:style w:type="paragraph" w:styleId="Verzeichnis2">
    <w:name w:val="toc 2"/>
    <w:basedOn w:val="Standard"/>
    <w:next w:val="Standard"/>
    <w:autoRedefine/>
    <w:semiHidden/>
    <w:pPr>
      <w:tabs>
        <w:tab w:val="right" w:leader="dot" w:pos="9185"/>
      </w:tabs>
      <w:spacing w:line="300" w:lineRule="exact"/>
      <w:ind w:left="198"/>
      <w:jc w:val="both"/>
    </w:pPr>
    <w:rPr>
      <w:b/>
    </w:rPr>
  </w:style>
  <w:style w:type="paragraph" w:styleId="Verzeichnis1">
    <w:name w:val="toc 1"/>
    <w:basedOn w:val="Standard"/>
    <w:next w:val="Standard"/>
    <w:autoRedefine/>
    <w:uiPriority w:val="39"/>
    <w:pPr>
      <w:tabs>
        <w:tab w:val="right" w:leader="dot" w:pos="9185"/>
      </w:tabs>
      <w:spacing w:before="120" w:line="300" w:lineRule="exact"/>
      <w:jc w:val="both"/>
    </w:pPr>
    <w:rPr>
      <w:b/>
    </w:rPr>
  </w:style>
  <w:style w:type="paragraph" w:styleId="Verzeichnis3">
    <w:name w:val="toc 3"/>
    <w:basedOn w:val="Standard"/>
    <w:next w:val="Standard"/>
    <w:autoRedefine/>
    <w:semiHidden/>
    <w:pPr>
      <w:tabs>
        <w:tab w:val="right" w:leader="dot" w:pos="9185"/>
      </w:tabs>
      <w:ind w:left="800" w:right="1418" w:hanging="397"/>
    </w:pPr>
    <w:rPr>
      <w:noProof/>
      <w:szCs w:val="28"/>
    </w:rPr>
  </w:style>
  <w:style w:type="paragraph" w:styleId="Verzeichnis4">
    <w:name w:val="toc 4"/>
    <w:basedOn w:val="Standard"/>
    <w:next w:val="Standard"/>
    <w:autoRedefine/>
    <w:semiHidden/>
    <w:pPr>
      <w:tabs>
        <w:tab w:val="right" w:leader="dot" w:pos="9185"/>
      </w:tabs>
      <w:ind w:left="600"/>
    </w:pPr>
    <w:rPr>
      <w:noProof/>
    </w:rPr>
  </w:style>
  <w:style w:type="paragraph" w:styleId="Verzeichnis5">
    <w:name w:val="toc 5"/>
    <w:basedOn w:val="Standard"/>
    <w:next w:val="Standard"/>
    <w:autoRedefine/>
    <w:semiHidden/>
    <w:pPr>
      <w:tabs>
        <w:tab w:val="right" w:leader="dot" w:pos="8788"/>
      </w:tabs>
      <w:ind w:left="800"/>
      <w:jc w:val="both"/>
    </w:pPr>
  </w:style>
  <w:style w:type="paragraph" w:styleId="Verzeichnis6">
    <w:name w:val="toc 6"/>
    <w:basedOn w:val="Standard"/>
    <w:next w:val="Standard"/>
    <w:autoRedefine/>
    <w:semiHidden/>
    <w:pPr>
      <w:tabs>
        <w:tab w:val="right" w:leader="dot" w:pos="8788"/>
      </w:tabs>
      <w:ind w:left="1000"/>
      <w:jc w:val="both"/>
    </w:pPr>
  </w:style>
  <w:style w:type="paragraph" w:styleId="Verzeichnis7">
    <w:name w:val="toc 7"/>
    <w:basedOn w:val="Standard"/>
    <w:next w:val="Standard"/>
    <w:autoRedefine/>
    <w:semiHidden/>
    <w:pPr>
      <w:tabs>
        <w:tab w:val="right" w:leader="dot" w:pos="8788"/>
      </w:tabs>
      <w:ind w:left="1200"/>
      <w:jc w:val="both"/>
    </w:pPr>
  </w:style>
  <w:style w:type="paragraph" w:styleId="Verzeichnis8">
    <w:name w:val="toc 8"/>
    <w:basedOn w:val="Standard"/>
    <w:next w:val="Standard"/>
    <w:autoRedefine/>
    <w:semiHidden/>
    <w:pPr>
      <w:tabs>
        <w:tab w:val="right" w:leader="dot" w:pos="8788"/>
      </w:tabs>
      <w:ind w:left="1400"/>
      <w:jc w:val="both"/>
    </w:pPr>
  </w:style>
  <w:style w:type="paragraph" w:styleId="Verzeichnis9">
    <w:name w:val="toc 9"/>
    <w:basedOn w:val="Standard"/>
    <w:next w:val="Standard"/>
    <w:autoRedefine/>
    <w:semiHidden/>
    <w:pPr>
      <w:tabs>
        <w:tab w:val="right" w:leader="dot" w:pos="8788"/>
      </w:tabs>
      <w:ind w:left="1600"/>
      <w:jc w:val="both"/>
    </w:pPr>
  </w:style>
  <w:style w:type="paragraph" w:styleId="Textkrper3">
    <w:name w:val="Body Text 3"/>
    <w:basedOn w:val="Standard"/>
    <w:pPr>
      <w:tabs>
        <w:tab w:val="left" w:pos="6804"/>
      </w:tabs>
      <w:jc w:val="both"/>
    </w:pPr>
  </w:style>
  <w:style w:type="paragraph" w:styleId="Dokumentstruktur">
    <w:name w:val="Document Map"/>
    <w:basedOn w:val="Standard"/>
    <w:semiHidden/>
    <w:pPr>
      <w:shd w:val="clear" w:color="auto" w:fill="000080"/>
      <w:jc w:val="both"/>
    </w:pPr>
    <w:rPr>
      <w:rFonts w:ascii="Tahoma" w:hAnsi="Tahoma"/>
    </w:rPr>
  </w:style>
  <w:style w:type="paragraph" w:styleId="Textkrper-Zeileneinzug">
    <w:name w:val="Body Text Indent"/>
    <w:basedOn w:val="Standard"/>
    <w:pPr>
      <w:widowControl w:val="0"/>
      <w:autoSpaceDE w:val="0"/>
      <w:autoSpaceDN w:val="0"/>
      <w:adjustRightInd w:val="0"/>
      <w:ind w:left="227" w:hanging="227"/>
      <w:jc w:val="both"/>
    </w:pPr>
    <w:rPr>
      <w:rFonts w:cs="Arial"/>
    </w:rPr>
  </w:style>
  <w:style w:type="paragraph" w:customStyle="1" w:styleId="NurText1">
    <w:name w:val="Nur Text1"/>
    <w:basedOn w:val="Standard"/>
    <w:pPr>
      <w:jc w:val="both"/>
    </w:pPr>
  </w:style>
  <w:style w:type="paragraph" w:styleId="Endnotentext">
    <w:name w:val="endnote text"/>
    <w:basedOn w:val="Standard"/>
    <w:semiHidden/>
    <w:pPr>
      <w:overflowPunct w:val="0"/>
      <w:autoSpaceDE w:val="0"/>
      <w:autoSpaceDN w:val="0"/>
      <w:adjustRightInd w:val="0"/>
      <w:ind w:right="141"/>
      <w:jc w:val="both"/>
      <w:textAlignment w:val="baseline"/>
    </w:pPr>
  </w:style>
  <w:style w:type="paragraph" w:customStyle="1" w:styleId="Text">
    <w:name w:val="Text"/>
    <w:basedOn w:val="Textkrper"/>
    <w:pPr>
      <w:ind w:right="0"/>
      <w:jc w:val="center"/>
    </w:pPr>
    <w:rPr>
      <w:noProof/>
      <w:sz w:val="20"/>
      <w:lang w:val="de-CH"/>
    </w:rPr>
  </w:style>
  <w:style w:type="character" w:styleId="Hyperlink">
    <w:name w:val="Hyperlink"/>
    <w:basedOn w:val="Absatz-Standardschriftart"/>
    <w:uiPriority w:val="99"/>
    <w:rPr>
      <w:color w:val="0000FF"/>
      <w:u w:val="single"/>
    </w:rPr>
  </w:style>
  <w:style w:type="character" w:styleId="Seitenzahl">
    <w:name w:val="page number"/>
    <w:basedOn w:val="Absatz-Standardschriftart"/>
  </w:style>
  <w:style w:type="paragraph" w:styleId="Sprechblasentext">
    <w:name w:val="Balloon Text"/>
    <w:basedOn w:val="Standard"/>
    <w:link w:val="SprechblasentextZchn"/>
    <w:rsid w:val="005035EA"/>
    <w:rPr>
      <w:rFonts w:ascii="Tahoma" w:hAnsi="Tahoma" w:cs="Tahoma"/>
      <w:sz w:val="16"/>
      <w:szCs w:val="16"/>
    </w:rPr>
  </w:style>
  <w:style w:type="character" w:customStyle="1" w:styleId="SprechblasentextZchn">
    <w:name w:val="Sprechblasentext Zchn"/>
    <w:basedOn w:val="Absatz-Standardschriftart"/>
    <w:link w:val="Sprechblasentext"/>
    <w:rsid w:val="005035EA"/>
    <w:rPr>
      <w:rFonts w:ascii="Tahoma" w:hAnsi="Tahoma" w:cs="Tahoma"/>
      <w:sz w:val="16"/>
      <w:szCs w:val="16"/>
      <w:lang w:val="de-DE" w:eastAsia="de-DE"/>
    </w:rPr>
  </w:style>
  <w:style w:type="paragraph" w:styleId="Listenabsatz">
    <w:name w:val="List Paragraph"/>
    <w:basedOn w:val="Standard"/>
    <w:uiPriority w:val="34"/>
    <w:qFormat/>
    <w:rsid w:val="00EF5BDD"/>
    <w:pPr>
      <w:ind w:left="720"/>
      <w:contextualSpacing/>
    </w:pPr>
  </w:style>
  <w:style w:type="paragraph" w:styleId="Funotentext">
    <w:name w:val="footnote text"/>
    <w:basedOn w:val="Standard"/>
    <w:link w:val="FunotentextZchn"/>
    <w:semiHidden/>
    <w:unhideWhenUsed/>
    <w:rsid w:val="00E544EA"/>
    <w:rPr>
      <w:sz w:val="20"/>
    </w:rPr>
  </w:style>
  <w:style w:type="character" w:customStyle="1" w:styleId="FunotentextZchn">
    <w:name w:val="Fußnotentext Zchn"/>
    <w:basedOn w:val="Absatz-Standardschriftart"/>
    <w:link w:val="Funotentext"/>
    <w:semiHidden/>
    <w:rsid w:val="00E544EA"/>
    <w:rPr>
      <w:rFonts w:ascii="Arial" w:hAnsi="Arial"/>
      <w:lang w:val="de-DE" w:eastAsia="de-DE"/>
    </w:rPr>
  </w:style>
  <w:style w:type="character" w:styleId="Funotenzeichen">
    <w:name w:val="footnote reference"/>
    <w:basedOn w:val="Absatz-Standardschriftart"/>
    <w:semiHidden/>
    <w:unhideWhenUsed/>
    <w:rsid w:val="00E544EA"/>
    <w:rPr>
      <w:vertAlign w:val="superscript"/>
    </w:rPr>
  </w:style>
  <w:style w:type="character" w:styleId="Kommentarzeichen">
    <w:name w:val="annotation reference"/>
    <w:basedOn w:val="Absatz-Standardschriftart"/>
    <w:semiHidden/>
    <w:unhideWhenUsed/>
    <w:rsid w:val="00FA6B8D"/>
    <w:rPr>
      <w:sz w:val="16"/>
      <w:szCs w:val="16"/>
    </w:rPr>
  </w:style>
  <w:style w:type="paragraph" w:styleId="Kommentartext">
    <w:name w:val="annotation text"/>
    <w:basedOn w:val="Standard"/>
    <w:link w:val="KommentartextZchn"/>
    <w:semiHidden/>
    <w:unhideWhenUsed/>
    <w:rsid w:val="00FA6B8D"/>
    <w:rPr>
      <w:sz w:val="20"/>
    </w:rPr>
  </w:style>
  <w:style w:type="character" w:customStyle="1" w:styleId="KommentartextZchn">
    <w:name w:val="Kommentartext Zchn"/>
    <w:basedOn w:val="Absatz-Standardschriftart"/>
    <w:link w:val="Kommentartext"/>
    <w:semiHidden/>
    <w:rsid w:val="00FA6B8D"/>
    <w:rPr>
      <w:rFonts w:ascii="Arial" w:hAnsi="Arial"/>
      <w:lang w:val="de-DE" w:eastAsia="de-DE"/>
    </w:rPr>
  </w:style>
  <w:style w:type="paragraph" w:styleId="Kommentarthema">
    <w:name w:val="annotation subject"/>
    <w:basedOn w:val="Kommentartext"/>
    <w:next w:val="Kommentartext"/>
    <w:link w:val="KommentarthemaZchn"/>
    <w:semiHidden/>
    <w:unhideWhenUsed/>
    <w:rsid w:val="00FA6B8D"/>
    <w:rPr>
      <w:b/>
      <w:bCs/>
    </w:rPr>
  </w:style>
  <w:style w:type="character" w:customStyle="1" w:styleId="KommentarthemaZchn">
    <w:name w:val="Kommentarthema Zchn"/>
    <w:basedOn w:val="KommentartextZchn"/>
    <w:link w:val="Kommentarthema"/>
    <w:semiHidden/>
    <w:rsid w:val="00FA6B8D"/>
    <w:rPr>
      <w:rFonts w:ascii="Arial" w:hAnsi="Arial"/>
      <w:b/>
      <w:bCs/>
      <w:lang w:val="de-DE" w:eastAsia="de-DE"/>
    </w:rPr>
  </w:style>
  <w:style w:type="table" w:styleId="Tabellenraster">
    <w:name w:val="Table Grid"/>
    <w:basedOn w:val="NormaleTabelle"/>
    <w:rsid w:val="0003341C"/>
    <w:rPr>
      <w:rFonts w:ascii="Trebuchet MS" w:eastAsiaTheme="minorHAnsi" w:hAnsi="Trebuchet MS"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03341C"/>
    <w:rPr>
      <w:rFonts w:ascii="Arial" w:hAnsi="Arial"/>
      <w:sz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89C48-E399-4B0E-80B7-13E650D3E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3654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4225</CharactersWithSpaces>
  <SharedDoc>false</SharedDoc>
  <HLinks>
    <vt:vector size="42" baseType="variant">
      <vt:variant>
        <vt:i4>1114174</vt:i4>
      </vt:variant>
      <vt:variant>
        <vt:i4>38</vt:i4>
      </vt:variant>
      <vt:variant>
        <vt:i4>0</vt:i4>
      </vt:variant>
      <vt:variant>
        <vt:i4>5</vt:i4>
      </vt:variant>
      <vt:variant>
        <vt:lpwstr/>
      </vt:variant>
      <vt:variant>
        <vt:lpwstr>_Toc242673978</vt:lpwstr>
      </vt:variant>
      <vt:variant>
        <vt:i4>1114174</vt:i4>
      </vt:variant>
      <vt:variant>
        <vt:i4>32</vt:i4>
      </vt:variant>
      <vt:variant>
        <vt:i4>0</vt:i4>
      </vt:variant>
      <vt:variant>
        <vt:i4>5</vt:i4>
      </vt:variant>
      <vt:variant>
        <vt:lpwstr/>
      </vt:variant>
      <vt:variant>
        <vt:lpwstr>_Toc242673977</vt:lpwstr>
      </vt:variant>
      <vt:variant>
        <vt:i4>1114174</vt:i4>
      </vt:variant>
      <vt:variant>
        <vt:i4>26</vt:i4>
      </vt:variant>
      <vt:variant>
        <vt:i4>0</vt:i4>
      </vt:variant>
      <vt:variant>
        <vt:i4>5</vt:i4>
      </vt:variant>
      <vt:variant>
        <vt:lpwstr/>
      </vt:variant>
      <vt:variant>
        <vt:lpwstr>_Toc242673976</vt:lpwstr>
      </vt:variant>
      <vt:variant>
        <vt:i4>1114174</vt:i4>
      </vt:variant>
      <vt:variant>
        <vt:i4>20</vt:i4>
      </vt:variant>
      <vt:variant>
        <vt:i4>0</vt:i4>
      </vt:variant>
      <vt:variant>
        <vt:i4>5</vt:i4>
      </vt:variant>
      <vt:variant>
        <vt:lpwstr/>
      </vt:variant>
      <vt:variant>
        <vt:lpwstr>_Toc242673975</vt:lpwstr>
      </vt:variant>
      <vt:variant>
        <vt:i4>1114174</vt:i4>
      </vt:variant>
      <vt:variant>
        <vt:i4>14</vt:i4>
      </vt:variant>
      <vt:variant>
        <vt:i4>0</vt:i4>
      </vt:variant>
      <vt:variant>
        <vt:i4>5</vt:i4>
      </vt:variant>
      <vt:variant>
        <vt:lpwstr/>
      </vt:variant>
      <vt:variant>
        <vt:lpwstr>_Toc242673974</vt:lpwstr>
      </vt:variant>
      <vt:variant>
        <vt:i4>1114174</vt:i4>
      </vt:variant>
      <vt:variant>
        <vt:i4>8</vt:i4>
      </vt:variant>
      <vt:variant>
        <vt:i4>0</vt:i4>
      </vt:variant>
      <vt:variant>
        <vt:i4>5</vt:i4>
      </vt:variant>
      <vt:variant>
        <vt:lpwstr/>
      </vt:variant>
      <vt:variant>
        <vt:lpwstr>_Toc242673973</vt:lpwstr>
      </vt:variant>
      <vt:variant>
        <vt:i4>1114174</vt:i4>
      </vt:variant>
      <vt:variant>
        <vt:i4>2</vt:i4>
      </vt:variant>
      <vt:variant>
        <vt:i4>0</vt:i4>
      </vt:variant>
      <vt:variant>
        <vt:i4>5</vt:i4>
      </vt:variant>
      <vt:variant>
        <vt:lpwstr/>
      </vt:variant>
      <vt:variant>
        <vt:lpwstr>_Toc242673972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"Règlement du Fonds d'infrastructure selon la LPEP"</dc:title>
  <dc:subject>Modèle "Règlement du Fonds d'infrastructure selon la LPEP"</dc:subject>
  <dc:creator/>
  <cp:lastModifiedBy/>
  <cp:revision>1</cp:revision>
  <dcterms:created xsi:type="dcterms:W3CDTF">2021-11-02T13:57:00Z</dcterms:created>
  <dcterms:modified xsi:type="dcterms:W3CDTF">2021-11-02T13:57:00Z</dcterms:modified>
</cp:coreProperties>
</file>