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6C46" w14:textId="2F4FED14" w:rsidR="00534A85" w:rsidRPr="00F617D2" w:rsidRDefault="00A13474" w:rsidP="00A13474">
      <w:pPr>
        <w:tabs>
          <w:tab w:val="left" w:pos="7230"/>
        </w:tabs>
        <w:rPr>
          <w:rFonts w:cs="Arial"/>
          <w:b/>
          <w:sz w:val="24"/>
          <w:szCs w:val="24"/>
          <w:lang w:val="de-CH"/>
        </w:rPr>
      </w:pPr>
      <w:r w:rsidRPr="00F617D2">
        <w:rPr>
          <w:rFonts w:cs="Arial"/>
          <w:b/>
          <w:sz w:val="24"/>
          <w:szCs w:val="24"/>
          <w:lang w:val="de-CH"/>
        </w:rPr>
        <w:tab/>
      </w:r>
      <w:r w:rsidRPr="00F617D2">
        <w:rPr>
          <w:rFonts w:cs="Arial"/>
          <w:b/>
          <w:i/>
          <w:sz w:val="24"/>
          <w:szCs w:val="24"/>
          <w:highlight w:val="green"/>
          <w:u w:val="single"/>
          <w:lang w:val="de-CH"/>
        </w:rPr>
        <w:t>Mustervorlage</w:t>
      </w:r>
    </w:p>
    <w:p w14:paraId="350C59F3" w14:textId="77777777" w:rsidR="008C20A0" w:rsidRPr="00F617D2" w:rsidRDefault="008C20A0" w:rsidP="00534A85">
      <w:pPr>
        <w:tabs>
          <w:tab w:val="left" w:pos="8647"/>
        </w:tabs>
        <w:rPr>
          <w:rFonts w:cs="Arial"/>
          <w:b/>
          <w:sz w:val="24"/>
          <w:szCs w:val="24"/>
          <w:lang w:val="de-CH"/>
        </w:rPr>
      </w:pPr>
    </w:p>
    <w:p w14:paraId="765F121D" w14:textId="77777777" w:rsidR="008C20A0" w:rsidRPr="00F617D2" w:rsidRDefault="008C20A0" w:rsidP="00534A85">
      <w:pPr>
        <w:tabs>
          <w:tab w:val="left" w:pos="8647"/>
        </w:tabs>
        <w:rPr>
          <w:rFonts w:cs="Arial"/>
          <w:b/>
          <w:sz w:val="24"/>
          <w:szCs w:val="24"/>
          <w:lang w:val="de-CH"/>
        </w:rPr>
      </w:pPr>
    </w:p>
    <w:p w14:paraId="41ADF0AC" w14:textId="5F8C7C18" w:rsidR="009A509A" w:rsidRPr="00F617D2" w:rsidRDefault="00FA6B8D" w:rsidP="0056080A">
      <w:pPr>
        <w:tabs>
          <w:tab w:val="left" w:pos="8647"/>
        </w:tabs>
        <w:rPr>
          <w:rFonts w:cs="Arial"/>
          <w:b/>
          <w:sz w:val="24"/>
          <w:szCs w:val="24"/>
          <w:lang w:val="de-CH"/>
        </w:rPr>
      </w:pPr>
      <w:r w:rsidRPr="00F617D2">
        <w:rPr>
          <w:rFonts w:cs="Arial"/>
          <w:b/>
          <w:sz w:val="24"/>
          <w:szCs w:val="24"/>
          <w:lang w:val="de-CH"/>
        </w:rPr>
        <w:t xml:space="preserve">Reglement </w:t>
      </w:r>
      <w:r w:rsidR="00522D3D" w:rsidRPr="00F617D2">
        <w:rPr>
          <w:rFonts w:cs="Arial"/>
          <w:b/>
          <w:sz w:val="24"/>
          <w:szCs w:val="24"/>
          <w:lang w:val="de-CH"/>
        </w:rPr>
        <w:t xml:space="preserve">über die </w:t>
      </w:r>
      <w:r w:rsidRPr="00F617D2">
        <w:rPr>
          <w:rFonts w:cs="Arial"/>
          <w:b/>
          <w:sz w:val="24"/>
          <w:szCs w:val="24"/>
          <w:lang w:val="de-CH"/>
        </w:rPr>
        <w:t>Infrastruktur</w:t>
      </w:r>
      <w:r w:rsidR="00522D3D" w:rsidRPr="00F617D2">
        <w:rPr>
          <w:rFonts w:cs="Arial"/>
          <w:b/>
          <w:sz w:val="24"/>
          <w:szCs w:val="24"/>
          <w:lang w:val="de-CH"/>
        </w:rPr>
        <w:t xml:space="preserve">pauschalen </w:t>
      </w:r>
      <w:r w:rsidR="009A509A" w:rsidRPr="00F617D2">
        <w:rPr>
          <w:rFonts w:cs="Arial"/>
          <w:b/>
          <w:sz w:val="24"/>
          <w:szCs w:val="24"/>
          <w:lang w:val="de-CH"/>
        </w:rPr>
        <w:t xml:space="preserve">für </w:t>
      </w:r>
      <w:r w:rsidR="00522D3D" w:rsidRPr="00F617D2">
        <w:rPr>
          <w:rFonts w:cs="Arial"/>
          <w:b/>
          <w:sz w:val="24"/>
          <w:szCs w:val="24"/>
          <w:lang w:val="de-CH"/>
        </w:rPr>
        <w:t xml:space="preserve">die </w:t>
      </w:r>
      <w:r w:rsidR="009A509A" w:rsidRPr="00F617D2">
        <w:rPr>
          <w:rFonts w:cs="Arial"/>
          <w:b/>
          <w:sz w:val="24"/>
          <w:szCs w:val="24"/>
          <w:lang w:val="de-CH"/>
        </w:rPr>
        <w:t>besondere Volksschule</w:t>
      </w:r>
    </w:p>
    <w:p w14:paraId="62BC410D" w14:textId="12B02DED" w:rsidR="00534A85" w:rsidRPr="00F617D2" w:rsidRDefault="00534A85" w:rsidP="00534A85">
      <w:pPr>
        <w:tabs>
          <w:tab w:val="left" w:pos="8647"/>
        </w:tabs>
        <w:rPr>
          <w:rFonts w:cs="Arial"/>
          <w:b/>
          <w:sz w:val="23"/>
          <w:szCs w:val="23"/>
          <w:lang w:val="de-CH"/>
        </w:rPr>
      </w:pPr>
    </w:p>
    <w:p w14:paraId="47888AC8" w14:textId="77777777" w:rsidR="009A509A" w:rsidRPr="00F617D2" w:rsidRDefault="009A509A" w:rsidP="00534A85">
      <w:pPr>
        <w:tabs>
          <w:tab w:val="left" w:pos="8647"/>
        </w:tabs>
        <w:rPr>
          <w:rFonts w:cs="Arial"/>
          <w:b/>
          <w:sz w:val="23"/>
          <w:szCs w:val="23"/>
          <w:lang w:val="de-CH"/>
        </w:rPr>
      </w:pPr>
    </w:p>
    <w:p w14:paraId="6B187DA4" w14:textId="2E3EEA99" w:rsidR="00534A85" w:rsidRPr="00F617D2" w:rsidRDefault="00534A85" w:rsidP="00BE2CAD">
      <w:pPr>
        <w:tabs>
          <w:tab w:val="left" w:pos="8647"/>
        </w:tabs>
        <w:rPr>
          <w:rFonts w:cs="Arial"/>
          <w:b/>
          <w:kern w:val="28"/>
          <w:sz w:val="23"/>
          <w:szCs w:val="23"/>
          <w:lang w:val="de-CH"/>
        </w:rPr>
      </w:pPr>
      <w:bookmarkStart w:id="0" w:name="_Toc288729857"/>
      <w:r w:rsidRPr="00F617D2">
        <w:rPr>
          <w:rFonts w:cs="Arial"/>
          <w:b/>
          <w:sz w:val="23"/>
          <w:szCs w:val="23"/>
          <w:lang w:val="de-CH"/>
        </w:rPr>
        <w:t>1</w:t>
      </w:r>
      <w:r w:rsidRPr="00F617D2">
        <w:rPr>
          <w:rFonts w:cs="Arial"/>
          <w:b/>
          <w:kern w:val="28"/>
          <w:sz w:val="23"/>
          <w:szCs w:val="23"/>
          <w:lang w:val="de-CH"/>
        </w:rPr>
        <w:t>. G</w:t>
      </w:r>
      <w:bookmarkEnd w:id="0"/>
      <w:r w:rsidR="0010198A" w:rsidRPr="00F617D2">
        <w:rPr>
          <w:rFonts w:cs="Arial"/>
          <w:b/>
          <w:kern w:val="28"/>
          <w:sz w:val="23"/>
          <w:szCs w:val="23"/>
          <w:lang w:val="de-CH"/>
        </w:rPr>
        <w:t>egenstand der Regelung</w:t>
      </w:r>
      <w:r w:rsidR="00BD1692" w:rsidRPr="00F617D2">
        <w:rPr>
          <w:rFonts w:cs="Arial"/>
          <w:b/>
          <w:kern w:val="28"/>
          <w:sz w:val="23"/>
          <w:szCs w:val="23"/>
          <w:lang w:val="de-CH"/>
        </w:rPr>
        <w:t xml:space="preserve"> und Grundlagen</w:t>
      </w:r>
    </w:p>
    <w:p w14:paraId="2598E854" w14:textId="482EE033" w:rsidR="00534A85" w:rsidRPr="00F617D2" w:rsidRDefault="00534A85" w:rsidP="00534A85">
      <w:pPr>
        <w:tabs>
          <w:tab w:val="left" w:pos="8647"/>
        </w:tabs>
        <w:rPr>
          <w:rFonts w:cs="Arial"/>
          <w:kern w:val="28"/>
          <w:sz w:val="23"/>
          <w:szCs w:val="23"/>
          <w:lang w:val="de-CH"/>
        </w:rPr>
      </w:pPr>
    </w:p>
    <w:p w14:paraId="6C5AAA8B" w14:textId="512E423F" w:rsidR="00BE2CAD" w:rsidRPr="00F617D2" w:rsidRDefault="00FD29E0" w:rsidP="0056080A">
      <w:pPr>
        <w:pStyle w:val="Listenabsatz"/>
        <w:numPr>
          <w:ilvl w:val="1"/>
          <w:numId w:val="43"/>
        </w:numPr>
        <w:spacing w:after="120"/>
        <w:contextualSpacing w:val="0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>Aufgrund der kantonalen Gesetzgebung</w:t>
      </w:r>
      <w:r w:rsidR="00AC7D62" w:rsidRPr="00F617D2">
        <w:rPr>
          <w:szCs w:val="22"/>
          <w:lang w:val="de-CH"/>
        </w:rPr>
        <w:t>, insbesondere Art. 21q des Volksschulgesetzes vom 19. März 1992 (VSG)</w:t>
      </w:r>
      <w:r w:rsidR="00BE2CAD" w:rsidRPr="00F617D2">
        <w:rPr>
          <w:szCs w:val="22"/>
          <w:lang w:val="de-CH"/>
        </w:rPr>
        <w:t xml:space="preserve">, </w:t>
      </w:r>
      <w:r w:rsidR="00AC7D62" w:rsidRPr="00F617D2">
        <w:rPr>
          <w:szCs w:val="22"/>
          <w:lang w:val="de-CH"/>
        </w:rPr>
        <w:t>Art. 48 ff. der Verordnung über das besondere Volksschulangebot vom 10. November 2021 (B</w:t>
      </w:r>
      <w:r w:rsidR="00D44104" w:rsidRPr="00F617D2">
        <w:rPr>
          <w:szCs w:val="22"/>
          <w:lang w:val="de-CH"/>
        </w:rPr>
        <w:t>V</w:t>
      </w:r>
      <w:r w:rsidR="00AC7D62" w:rsidRPr="00F617D2">
        <w:rPr>
          <w:szCs w:val="22"/>
          <w:lang w:val="de-CH"/>
        </w:rPr>
        <w:t>SV)</w:t>
      </w:r>
      <w:r w:rsidR="00D44104" w:rsidRPr="00F617D2">
        <w:rPr>
          <w:szCs w:val="22"/>
          <w:lang w:val="de-CH"/>
        </w:rPr>
        <w:t xml:space="preserve"> sowie der Direktionsverordnung über das besondere Volksschulangebot </w:t>
      </w:r>
      <w:r w:rsidR="00BE2CAD" w:rsidRPr="00F617D2">
        <w:rPr>
          <w:szCs w:val="22"/>
          <w:lang w:val="de-CH"/>
        </w:rPr>
        <w:t xml:space="preserve">vom 23. November 2021 </w:t>
      </w:r>
      <w:r w:rsidR="00D44104" w:rsidRPr="00F617D2">
        <w:rPr>
          <w:szCs w:val="22"/>
          <w:lang w:val="de-CH"/>
        </w:rPr>
        <w:t xml:space="preserve">(BVSDV), </w:t>
      </w:r>
      <w:r w:rsidRPr="00F617D2">
        <w:rPr>
          <w:rFonts w:cs="Arial"/>
          <w:szCs w:val="22"/>
          <w:lang w:val="de-CH"/>
        </w:rPr>
        <w:t>w</w:t>
      </w:r>
      <w:r w:rsidR="00AC7D62" w:rsidRPr="00F617D2">
        <w:rPr>
          <w:rFonts w:cs="Arial"/>
          <w:szCs w:val="22"/>
          <w:lang w:val="de-CH"/>
        </w:rPr>
        <w:t>ird</w:t>
      </w:r>
      <w:r w:rsidR="00E41F24" w:rsidRPr="00F617D2">
        <w:rPr>
          <w:rFonts w:cs="Arial"/>
          <w:szCs w:val="22"/>
          <w:lang w:val="de-CH"/>
        </w:rPr>
        <w:t xml:space="preserve"> </w:t>
      </w:r>
      <w:r w:rsidR="00F62A4C" w:rsidRPr="00F617D2">
        <w:rPr>
          <w:rFonts w:cs="Arial"/>
          <w:szCs w:val="22"/>
          <w:lang w:val="de-CH"/>
        </w:rPr>
        <w:t>besonderen Volksschule</w:t>
      </w:r>
      <w:r w:rsidR="00AC7D62" w:rsidRPr="00F617D2">
        <w:rPr>
          <w:rFonts w:cs="Arial"/>
          <w:szCs w:val="22"/>
          <w:lang w:val="de-CH"/>
        </w:rPr>
        <w:t>n</w:t>
      </w:r>
      <w:r w:rsidR="00F62A4C" w:rsidRPr="00F617D2">
        <w:rPr>
          <w:rFonts w:cs="Arial"/>
          <w:szCs w:val="22"/>
          <w:lang w:val="de-CH"/>
        </w:rPr>
        <w:t xml:space="preserve"> </w:t>
      </w:r>
      <w:r w:rsidR="00AC7D62" w:rsidRPr="00F617D2">
        <w:rPr>
          <w:rFonts w:cs="Arial"/>
          <w:szCs w:val="22"/>
          <w:lang w:val="de-CH"/>
        </w:rPr>
        <w:t xml:space="preserve">pro Klasse eine einheitliche Infrastrukturpauschale für ihren Bedarf an Boden, Gebäude und Mobilien </w:t>
      </w:r>
      <w:r w:rsidR="00522D3D" w:rsidRPr="00F617D2">
        <w:rPr>
          <w:rFonts w:cs="Arial"/>
          <w:szCs w:val="22"/>
          <w:lang w:val="de-CH"/>
        </w:rPr>
        <w:t>(</w:t>
      </w:r>
      <w:r w:rsidR="00522D3D" w:rsidRPr="00F617D2">
        <w:rPr>
          <w:rFonts w:cs="Arial"/>
          <w:iCs/>
          <w:szCs w:val="22"/>
          <w:lang w:val="de-CH"/>
        </w:rPr>
        <w:t>Einrichtungsgegenstände und technische Ausrüstung)</w:t>
      </w:r>
      <w:r w:rsidR="00522D3D" w:rsidRPr="00F617D2">
        <w:rPr>
          <w:rFonts w:cs="Arial"/>
          <w:szCs w:val="22"/>
          <w:lang w:val="de-CH"/>
        </w:rPr>
        <w:t xml:space="preserve"> </w:t>
      </w:r>
      <w:r w:rsidR="00AC7D62" w:rsidRPr="00F617D2">
        <w:rPr>
          <w:rFonts w:cs="Arial"/>
          <w:szCs w:val="22"/>
          <w:lang w:val="de-CH"/>
        </w:rPr>
        <w:t>ausgerichtet.</w:t>
      </w:r>
      <w:r w:rsidR="00BE2CAD" w:rsidRPr="00F617D2">
        <w:rPr>
          <w:rFonts w:cs="Arial"/>
          <w:szCs w:val="22"/>
          <w:lang w:val="de-CH"/>
        </w:rPr>
        <w:t xml:space="preserve"> Sie beruht auf einer Norminvestition pro Klasse, beinhaltet Amortisation und Kapitalverzinsung und muss zweckgebunden für die Bereitstellung der Infrastruktur verwendet werden.</w:t>
      </w:r>
    </w:p>
    <w:p w14:paraId="326E8FD6" w14:textId="15FB70D2" w:rsidR="00D44104" w:rsidRPr="00F617D2" w:rsidRDefault="00D44104" w:rsidP="0056080A">
      <w:pPr>
        <w:pStyle w:val="Listenabsatz"/>
        <w:ind w:left="527"/>
        <w:contextualSpacing w:val="0"/>
        <w:jc w:val="both"/>
        <w:rPr>
          <w:szCs w:val="22"/>
          <w:lang w:val="de-CH"/>
        </w:rPr>
      </w:pPr>
      <w:r w:rsidRPr="00F617D2">
        <w:rPr>
          <w:szCs w:val="22"/>
          <w:lang w:val="de-CH"/>
        </w:rPr>
        <w:t>Weitere Bestimmungen finden sich in den „Richtlinien zur Abgeltung der besonderen Volksschule“</w:t>
      </w:r>
      <w:r w:rsidRPr="00F617D2">
        <w:rPr>
          <w:rStyle w:val="Funotenzeichen"/>
          <w:szCs w:val="22"/>
          <w:lang w:val="de-CH"/>
        </w:rPr>
        <w:footnoteReference w:id="1"/>
      </w:r>
      <w:r w:rsidRPr="00F617D2">
        <w:rPr>
          <w:szCs w:val="22"/>
          <w:lang w:val="de-CH"/>
        </w:rPr>
        <w:t xml:space="preserve"> des Amtes für Kindergarten, Volksschule und Beratung (AKVB).</w:t>
      </w:r>
    </w:p>
    <w:p w14:paraId="6A23DD7D" w14:textId="77777777" w:rsidR="007A5637" w:rsidRPr="00F617D2" w:rsidRDefault="007A5637" w:rsidP="0056080A">
      <w:pPr>
        <w:pStyle w:val="Listenabsatz"/>
        <w:ind w:left="527"/>
        <w:contextualSpacing w:val="0"/>
        <w:jc w:val="both"/>
        <w:rPr>
          <w:rFonts w:cs="Arial"/>
          <w:szCs w:val="22"/>
          <w:lang w:val="de-CH"/>
        </w:rPr>
      </w:pPr>
    </w:p>
    <w:p w14:paraId="514DC44A" w14:textId="60A6B62B" w:rsidR="00F62A4C" w:rsidRPr="00F617D2" w:rsidRDefault="00534A85" w:rsidP="00102B22">
      <w:pPr>
        <w:pStyle w:val="Listenabsatz"/>
        <w:numPr>
          <w:ilvl w:val="1"/>
          <w:numId w:val="43"/>
        </w:numPr>
        <w:rPr>
          <w:szCs w:val="22"/>
          <w:lang w:val="de-CH"/>
        </w:rPr>
      </w:pPr>
      <w:r w:rsidRPr="00F617D2">
        <w:rPr>
          <w:szCs w:val="22"/>
          <w:lang w:val="de-CH"/>
        </w:rPr>
        <w:t>Die</w:t>
      </w:r>
      <w:r w:rsidR="00252133" w:rsidRPr="00F617D2">
        <w:rPr>
          <w:szCs w:val="22"/>
          <w:lang w:val="de-CH"/>
        </w:rPr>
        <w:t xml:space="preserve">ses Reglement regelt </w:t>
      </w:r>
      <w:r w:rsidR="00823521" w:rsidRPr="00F617D2">
        <w:rPr>
          <w:szCs w:val="22"/>
          <w:lang w:val="de-CH"/>
        </w:rPr>
        <w:t>ausschliesslich</w:t>
      </w:r>
      <w:r w:rsidR="00823521" w:rsidRPr="00F617D2">
        <w:rPr>
          <w:rStyle w:val="Funotenzeichen"/>
          <w:szCs w:val="22"/>
          <w:lang w:val="de-CH"/>
        </w:rPr>
        <w:footnoteReference w:id="2"/>
      </w:r>
      <w:r w:rsidR="00823521" w:rsidRPr="00F617D2">
        <w:rPr>
          <w:szCs w:val="22"/>
          <w:lang w:val="de-CH"/>
        </w:rPr>
        <w:t xml:space="preserve"> </w:t>
      </w:r>
      <w:r w:rsidR="00252133" w:rsidRPr="00F617D2">
        <w:rPr>
          <w:szCs w:val="22"/>
          <w:lang w:val="de-CH"/>
        </w:rPr>
        <w:t>di</w:t>
      </w:r>
      <w:r w:rsidR="00C31FB2" w:rsidRPr="00F617D2">
        <w:rPr>
          <w:szCs w:val="22"/>
          <w:lang w:val="de-CH"/>
        </w:rPr>
        <w:t xml:space="preserve">e </w:t>
      </w:r>
      <w:r w:rsidR="00FD29E0" w:rsidRPr="00F617D2">
        <w:rPr>
          <w:szCs w:val="22"/>
          <w:lang w:val="de-CH"/>
        </w:rPr>
        <w:t xml:space="preserve">Verwaltung und Verwendung der </w:t>
      </w:r>
      <w:r w:rsidR="007A5637" w:rsidRPr="00F617D2">
        <w:rPr>
          <w:szCs w:val="22"/>
          <w:lang w:val="de-CH"/>
        </w:rPr>
        <w:t xml:space="preserve">zweckgebundenen </w:t>
      </w:r>
      <w:r w:rsidR="00AC7D62" w:rsidRPr="00F617D2">
        <w:rPr>
          <w:szCs w:val="22"/>
          <w:lang w:val="de-CH"/>
        </w:rPr>
        <w:t>Infrastrukturpauschale</w:t>
      </w:r>
      <w:r w:rsidR="00252133" w:rsidRPr="00F617D2">
        <w:rPr>
          <w:szCs w:val="22"/>
          <w:lang w:val="de-CH"/>
        </w:rPr>
        <w:t xml:space="preserve">, welche der </w:t>
      </w:r>
      <w:r w:rsidR="00252133" w:rsidRPr="00F617D2">
        <w:rPr>
          <w:szCs w:val="22"/>
          <w:highlight w:val="yellow"/>
          <w:lang w:val="de-CH"/>
        </w:rPr>
        <w:t>Institution XXX</w:t>
      </w:r>
      <w:r w:rsidR="00FD29E0" w:rsidRPr="00F617D2">
        <w:rPr>
          <w:szCs w:val="22"/>
          <w:lang w:val="de-CH"/>
        </w:rPr>
        <w:t xml:space="preserve"> </w:t>
      </w:r>
      <w:r w:rsidR="000E7317" w:rsidRPr="00F617D2">
        <w:rPr>
          <w:szCs w:val="22"/>
          <w:lang w:val="de-CH"/>
        </w:rPr>
        <w:t xml:space="preserve">vom Kanton </w:t>
      </w:r>
      <w:r w:rsidR="00DB6F49" w:rsidRPr="00F617D2">
        <w:rPr>
          <w:szCs w:val="22"/>
          <w:lang w:val="de-CH"/>
        </w:rPr>
        <w:t xml:space="preserve">Bern </w:t>
      </w:r>
      <w:r w:rsidR="00E94951" w:rsidRPr="00F617D2">
        <w:rPr>
          <w:szCs w:val="22"/>
          <w:lang w:val="de-CH"/>
        </w:rPr>
        <w:t>für d</w:t>
      </w:r>
      <w:r w:rsidR="00EF5BD6" w:rsidRPr="00F617D2">
        <w:rPr>
          <w:szCs w:val="22"/>
          <w:lang w:val="de-CH"/>
        </w:rPr>
        <w:t>ie Finanzierung ihrer Infrastru</w:t>
      </w:r>
      <w:r w:rsidR="00E94951" w:rsidRPr="00F617D2">
        <w:rPr>
          <w:szCs w:val="22"/>
          <w:lang w:val="de-CH"/>
        </w:rPr>
        <w:t>k</w:t>
      </w:r>
      <w:r w:rsidR="00EF5BD6" w:rsidRPr="00F617D2">
        <w:rPr>
          <w:szCs w:val="22"/>
          <w:lang w:val="de-CH"/>
        </w:rPr>
        <w:t>t</w:t>
      </w:r>
      <w:r w:rsidR="00E94951" w:rsidRPr="00F617D2">
        <w:rPr>
          <w:szCs w:val="22"/>
          <w:lang w:val="de-CH"/>
        </w:rPr>
        <w:t>ur</w:t>
      </w:r>
      <w:r w:rsidR="000E7317" w:rsidRPr="00F617D2">
        <w:rPr>
          <w:szCs w:val="22"/>
          <w:lang w:val="de-CH"/>
        </w:rPr>
        <w:t xml:space="preserve"> </w:t>
      </w:r>
      <w:r w:rsidR="00F62A4C" w:rsidRPr="00F617D2">
        <w:rPr>
          <w:szCs w:val="22"/>
          <w:lang w:val="de-CH"/>
        </w:rPr>
        <w:t xml:space="preserve">der besonderen Volksschule </w:t>
      </w:r>
      <w:r w:rsidR="00AC7D62" w:rsidRPr="00F617D2">
        <w:rPr>
          <w:szCs w:val="22"/>
          <w:lang w:val="de-CH"/>
        </w:rPr>
        <w:t>zur Verfügung gestellt wird</w:t>
      </w:r>
      <w:r w:rsidR="00F62A4C" w:rsidRPr="00F617D2">
        <w:rPr>
          <w:szCs w:val="22"/>
          <w:lang w:val="de-CH"/>
        </w:rPr>
        <w:t>.</w:t>
      </w:r>
      <w:r w:rsidR="00823521" w:rsidRPr="00F617D2">
        <w:rPr>
          <w:szCs w:val="22"/>
          <w:lang w:val="de-CH"/>
        </w:rPr>
        <w:t xml:space="preserve"> </w:t>
      </w:r>
    </w:p>
    <w:p w14:paraId="6F8CE651" w14:textId="77777777" w:rsidR="00522D3D" w:rsidRPr="00F617D2" w:rsidRDefault="00522D3D" w:rsidP="0056080A">
      <w:pPr>
        <w:pStyle w:val="Listenabsatz"/>
        <w:ind w:left="525"/>
        <w:rPr>
          <w:szCs w:val="22"/>
          <w:lang w:val="de-CH"/>
        </w:rPr>
      </w:pPr>
    </w:p>
    <w:p w14:paraId="52520339" w14:textId="77777777" w:rsidR="00534A85" w:rsidRPr="00F617D2" w:rsidRDefault="00534A85" w:rsidP="00534A85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2F5273D4" w14:textId="5E0EE109" w:rsidR="00534A85" w:rsidRPr="00F617D2" w:rsidRDefault="00534A85" w:rsidP="00534A85">
      <w:pPr>
        <w:ind w:right="-1"/>
        <w:jc w:val="both"/>
        <w:rPr>
          <w:rFonts w:cs="Arial"/>
          <w:b/>
          <w:sz w:val="23"/>
          <w:szCs w:val="23"/>
          <w:lang w:val="de-CH"/>
        </w:rPr>
      </w:pPr>
      <w:r w:rsidRPr="00F617D2">
        <w:rPr>
          <w:rFonts w:cs="Arial"/>
          <w:b/>
          <w:sz w:val="23"/>
          <w:szCs w:val="23"/>
          <w:lang w:val="de-CH"/>
        </w:rPr>
        <w:t xml:space="preserve">2. </w:t>
      </w:r>
      <w:r w:rsidR="00291157" w:rsidRPr="00F617D2">
        <w:rPr>
          <w:rFonts w:cs="Arial"/>
          <w:b/>
          <w:sz w:val="23"/>
          <w:szCs w:val="23"/>
          <w:lang w:val="de-CH"/>
        </w:rPr>
        <w:t>Äufnung de</w:t>
      </w:r>
      <w:r w:rsidR="00823521" w:rsidRPr="00F617D2">
        <w:rPr>
          <w:rFonts w:cs="Arial"/>
          <w:b/>
          <w:sz w:val="23"/>
          <w:szCs w:val="23"/>
          <w:lang w:val="de-CH"/>
        </w:rPr>
        <w:t>r</w:t>
      </w:r>
      <w:r w:rsidR="00291157" w:rsidRPr="00F617D2">
        <w:rPr>
          <w:rFonts w:cs="Arial"/>
          <w:b/>
          <w:sz w:val="23"/>
          <w:szCs w:val="23"/>
          <w:lang w:val="de-CH"/>
        </w:rPr>
        <w:t xml:space="preserve"> Fonds</w:t>
      </w:r>
    </w:p>
    <w:p w14:paraId="093268DB" w14:textId="77777777" w:rsidR="00534A85" w:rsidRPr="00F617D2" w:rsidRDefault="00534A85" w:rsidP="00534A85">
      <w:pPr>
        <w:ind w:right="-1"/>
        <w:jc w:val="both"/>
        <w:rPr>
          <w:rFonts w:cs="Arial"/>
          <w:szCs w:val="22"/>
          <w:lang w:val="de-CH"/>
        </w:rPr>
      </w:pPr>
    </w:p>
    <w:p w14:paraId="6009B1B8" w14:textId="77777777" w:rsidR="00BE2CAD" w:rsidRPr="00F617D2" w:rsidRDefault="00DB6F49" w:rsidP="0056080A">
      <w:pPr>
        <w:tabs>
          <w:tab w:val="left" w:pos="567"/>
        </w:tabs>
        <w:ind w:left="567" w:hanging="567"/>
        <w:rPr>
          <w:szCs w:val="22"/>
          <w:lang w:val="de-CH"/>
        </w:rPr>
      </w:pPr>
      <w:r w:rsidRPr="00F617D2">
        <w:rPr>
          <w:rFonts w:cs="Arial"/>
          <w:szCs w:val="22"/>
          <w:lang w:val="de-CH"/>
        </w:rPr>
        <w:t>2.</w:t>
      </w:r>
      <w:r w:rsidR="00746124" w:rsidRPr="00F617D2">
        <w:rPr>
          <w:rFonts w:cs="Arial"/>
          <w:szCs w:val="22"/>
          <w:lang w:val="de-CH"/>
        </w:rPr>
        <w:t>1</w:t>
      </w:r>
      <w:r w:rsidR="00522D3D" w:rsidRPr="00F617D2">
        <w:rPr>
          <w:rFonts w:cs="Arial"/>
          <w:szCs w:val="22"/>
          <w:lang w:val="de-CH"/>
        </w:rPr>
        <w:tab/>
      </w:r>
      <w:r w:rsidR="00BE2CAD" w:rsidRPr="00F617D2">
        <w:rPr>
          <w:szCs w:val="22"/>
          <w:lang w:val="de-CH"/>
        </w:rPr>
        <w:t xml:space="preserve">Die Anteile der Infrastrukturpauschale für Immobilien und Mobilien werden in der BVSDV festgelegt. </w:t>
      </w:r>
    </w:p>
    <w:p w14:paraId="16F94251" w14:textId="77777777" w:rsidR="00BE2CAD" w:rsidRPr="00F617D2" w:rsidRDefault="00BE2CAD" w:rsidP="0056080A">
      <w:pPr>
        <w:tabs>
          <w:tab w:val="left" w:pos="567"/>
        </w:tabs>
        <w:ind w:left="567" w:hanging="567"/>
        <w:rPr>
          <w:szCs w:val="22"/>
          <w:lang w:val="de-CH"/>
        </w:rPr>
      </w:pPr>
    </w:p>
    <w:p w14:paraId="07B39B32" w14:textId="132B556F" w:rsidR="00522D3D" w:rsidRPr="00F617D2" w:rsidRDefault="00BE2CAD" w:rsidP="0056080A">
      <w:pPr>
        <w:tabs>
          <w:tab w:val="left" w:pos="567"/>
        </w:tabs>
        <w:ind w:left="567" w:hanging="567"/>
        <w:rPr>
          <w:szCs w:val="22"/>
          <w:lang w:val="de-CH"/>
        </w:rPr>
      </w:pPr>
      <w:r w:rsidRPr="00F617D2">
        <w:rPr>
          <w:szCs w:val="22"/>
          <w:lang w:val="de-CH"/>
        </w:rPr>
        <w:t>2.2</w:t>
      </w:r>
      <w:r w:rsidRPr="00F617D2">
        <w:rPr>
          <w:szCs w:val="22"/>
          <w:lang w:val="de-CH"/>
        </w:rPr>
        <w:tab/>
      </w:r>
      <w:r w:rsidR="00522D3D" w:rsidRPr="00F617D2">
        <w:rPr>
          <w:szCs w:val="22"/>
          <w:lang w:val="de-CH"/>
        </w:rPr>
        <w:t xml:space="preserve">Die jeweiligen Anteile </w:t>
      </w:r>
      <w:r w:rsidR="00886DA9" w:rsidRPr="00F617D2">
        <w:rPr>
          <w:szCs w:val="22"/>
          <w:lang w:val="de-CH"/>
        </w:rPr>
        <w:t xml:space="preserve">werden </w:t>
      </w:r>
      <w:r w:rsidR="00522D3D" w:rsidRPr="00F617D2">
        <w:rPr>
          <w:szCs w:val="22"/>
          <w:lang w:val="de-CH"/>
        </w:rPr>
        <w:t xml:space="preserve">in zwei separaten Fonds für </w:t>
      </w:r>
      <w:r w:rsidRPr="00F617D2">
        <w:rPr>
          <w:rFonts w:cs="Arial"/>
          <w:szCs w:val="22"/>
          <w:lang w:val="de-CH" w:eastAsia="de-CH"/>
        </w:rPr>
        <w:t xml:space="preserve">«Immobilien» </w:t>
      </w:r>
      <w:r w:rsidR="00522D3D" w:rsidRPr="00F617D2">
        <w:rPr>
          <w:szCs w:val="22"/>
          <w:lang w:val="de-CH"/>
        </w:rPr>
        <w:t xml:space="preserve">und für </w:t>
      </w:r>
      <w:r w:rsidRPr="00F617D2">
        <w:rPr>
          <w:rFonts w:cs="Arial"/>
          <w:szCs w:val="22"/>
          <w:lang w:val="de-CH" w:eastAsia="de-CH"/>
        </w:rPr>
        <w:t xml:space="preserve">«Mobilien» </w:t>
      </w:r>
      <w:r w:rsidR="00522D3D" w:rsidRPr="00F617D2">
        <w:rPr>
          <w:szCs w:val="22"/>
          <w:lang w:val="de-CH"/>
        </w:rPr>
        <w:t>bewirtschaftet</w:t>
      </w:r>
      <w:r w:rsidR="005D0F54" w:rsidRPr="00F617D2">
        <w:rPr>
          <w:rFonts w:cs="Arial"/>
          <w:szCs w:val="22"/>
          <w:lang w:val="de-CH"/>
        </w:rPr>
        <w:t xml:space="preserve"> und buchhalterisch separat ausgewiesen</w:t>
      </w:r>
      <w:r w:rsidR="00522D3D" w:rsidRPr="00F617D2">
        <w:rPr>
          <w:szCs w:val="22"/>
          <w:lang w:val="de-CH"/>
        </w:rPr>
        <w:t>.</w:t>
      </w:r>
    </w:p>
    <w:p w14:paraId="723A3696" w14:textId="77777777" w:rsidR="00522D3D" w:rsidRPr="00F617D2" w:rsidRDefault="00522D3D" w:rsidP="0056080A">
      <w:pPr>
        <w:rPr>
          <w:szCs w:val="22"/>
          <w:lang w:val="de-CH"/>
        </w:rPr>
      </w:pPr>
    </w:p>
    <w:p w14:paraId="6DED4F0E" w14:textId="78E0F7A4" w:rsidR="00FD29E0" w:rsidRPr="00F617D2" w:rsidRDefault="00BE2CAD" w:rsidP="0056080A">
      <w:pPr>
        <w:tabs>
          <w:tab w:val="left" w:pos="567"/>
        </w:tabs>
        <w:ind w:left="567" w:right="-1" w:hanging="567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>2.3</w:t>
      </w:r>
      <w:r w:rsidR="00522D3D" w:rsidRPr="00F617D2">
        <w:rPr>
          <w:rFonts w:cs="Arial"/>
          <w:szCs w:val="22"/>
          <w:lang w:val="de-CH"/>
        </w:rPr>
        <w:tab/>
      </w:r>
      <w:r w:rsidR="00291157" w:rsidRPr="00F617D2">
        <w:rPr>
          <w:rFonts w:cs="Arial"/>
          <w:szCs w:val="22"/>
          <w:lang w:val="de-CH"/>
        </w:rPr>
        <w:t xml:space="preserve">In einem Kalenderjahr nicht verwendete </w:t>
      </w:r>
      <w:r w:rsidR="007A5637" w:rsidRPr="00F617D2">
        <w:rPr>
          <w:rFonts w:cs="Arial"/>
          <w:szCs w:val="22"/>
          <w:lang w:val="de-CH"/>
        </w:rPr>
        <w:t>Mittel</w:t>
      </w:r>
      <w:r w:rsidR="00291157" w:rsidRPr="00F617D2">
        <w:rPr>
          <w:rFonts w:cs="Arial"/>
          <w:szCs w:val="22"/>
          <w:lang w:val="de-CH"/>
        </w:rPr>
        <w:t xml:space="preserve"> </w:t>
      </w:r>
      <w:r w:rsidR="005D0F54" w:rsidRPr="00F617D2">
        <w:rPr>
          <w:rFonts w:cs="Arial"/>
          <w:szCs w:val="22"/>
          <w:lang w:val="de-CH"/>
        </w:rPr>
        <w:t xml:space="preserve">verbleiben im jeweiligen Fonds und stehen für die künftige </w:t>
      </w:r>
      <w:r w:rsidR="00FD29E0" w:rsidRPr="00F617D2">
        <w:rPr>
          <w:rFonts w:cs="Arial"/>
          <w:szCs w:val="22"/>
          <w:lang w:val="de-CH"/>
        </w:rPr>
        <w:t>zweck</w:t>
      </w:r>
      <w:r w:rsidR="002F3092" w:rsidRPr="00F617D2">
        <w:rPr>
          <w:rFonts w:cs="Arial"/>
          <w:szCs w:val="22"/>
          <w:lang w:val="de-CH"/>
        </w:rPr>
        <w:t>gebunden</w:t>
      </w:r>
      <w:r w:rsidR="005D0F54" w:rsidRPr="00F617D2">
        <w:rPr>
          <w:rFonts w:cs="Arial"/>
          <w:szCs w:val="22"/>
          <w:lang w:val="de-CH"/>
        </w:rPr>
        <w:t>e Verwendung</w:t>
      </w:r>
      <w:r w:rsidR="00FD29E0" w:rsidRPr="00F617D2">
        <w:rPr>
          <w:rFonts w:cs="Arial"/>
          <w:szCs w:val="22"/>
          <w:lang w:val="de-CH"/>
        </w:rPr>
        <w:t xml:space="preserve"> </w:t>
      </w:r>
      <w:r w:rsidR="005D0F54" w:rsidRPr="00F617D2">
        <w:rPr>
          <w:rFonts w:cs="Arial"/>
          <w:szCs w:val="22"/>
          <w:lang w:val="de-CH"/>
        </w:rPr>
        <w:t>zur Verfügung</w:t>
      </w:r>
      <w:r w:rsidR="00FD29E0" w:rsidRPr="00F617D2">
        <w:rPr>
          <w:rFonts w:cs="Arial"/>
          <w:szCs w:val="22"/>
          <w:lang w:val="de-CH"/>
        </w:rPr>
        <w:t>.</w:t>
      </w:r>
    </w:p>
    <w:p w14:paraId="45C0E7AD" w14:textId="77777777" w:rsidR="005D0F54" w:rsidRPr="00F617D2" w:rsidRDefault="005D0F54" w:rsidP="0056080A">
      <w:pPr>
        <w:tabs>
          <w:tab w:val="left" w:pos="567"/>
        </w:tabs>
        <w:ind w:left="567" w:right="-1" w:hanging="567"/>
        <w:jc w:val="both"/>
        <w:rPr>
          <w:rFonts w:cs="Arial"/>
          <w:szCs w:val="22"/>
          <w:lang w:val="de-CH"/>
        </w:rPr>
      </w:pPr>
    </w:p>
    <w:p w14:paraId="333FC893" w14:textId="69894A6F" w:rsidR="005D0F54" w:rsidRPr="00F617D2" w:rsidRDefault="005D0F54" w:rsidP="0056080A">
      <w:pPr>
        <w:pStyle w:val="Listenabsatz"/>
        <w:numPr>
          <w:ilvl w:val="1"/>
          <w:numId w:val="49"/>
        </w:numPr>
        <w:ind w:left="567" w:hanging="567"/>
        <w:rPr>
          <w:lang w:val="de-CH"/>
        </w:rPr>
      </w:pPr>
      <w:r w:rsidRPr="00F617D2">
        <w:rPr>
          <w:rFonts w:cs="Arial"/>
          <w:szCs w:val="22"/>
          <w:lang w:val="de-CH"/>
        </w:rPr>
        <w:t>Erträge aus der Anlage von Fondsmitteln fliessen in den jeweiligen Fonds.</w:t>
      </w:r>
    </w:p>
    <w:p w14:paraId="13B4EC98" w14:textId="1EE53D24" w:rsidR="00886DA9" w:rsidRPr="00F617D2" w:rsidRDefault="00886DA9" w:rsidP="0056080A">
      <w:pPr>
        <w:tabs>
          <w:tab w:val="left" w:pos="567"/>
        </w:tabs>
        <w:ind w:right="-1"/>
        <w:jc w:val="both"/>
        <w:rPr>
          <w:rFonts w:cs="Arial"/>
          <w:szCs w:val="22"/>
          <w:lang w:val="de-CH"/>
        </w:rPr>
      </w:pPr>
    </w:p>
    <w:p w14:paraId="1F29D911" w14:textId="4C514606" w:rsidR="00B503BA" w:rsidRPr="00F617D2" w:rsidRDefault="00886DA9" w:rsidP="00A43519">
      <w:pPr>
        <w:pStyle w:val="Listenabsatz"/>
        <w:numPr>
          <w:ilvl w:val="1"/>
          <w:numId w:val="49"/>
        </w:numPr>
        <w:tabs>
          <w:tab w:val="left" w:pos="567"/>
        </w:tabs>
        <w:ind w:left="567" w:hanging="567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>Allfällige Erlöse aus der Vermietung der Schulinfrastruktur an Dritte werden dem Fon</w:t>
      </w:r>
      <w:r w:rsidR="00BE2CAD" w:rsidRPr="00F617D2">
        <w:rPr>
          <w:rFonts w:cs="Arial"/>
          <w:szCs w:val="22"/>
          <w:lang w:val="de-CH"/>
        </w:rPr>
        <w:t xml:space="preserve">ds </w:t>
      </w:r>
      <w:r w:rsidR="00BE2CAD" w:rsidRPr="00F617D2">
        <w:rPr>
          <w:rFonts w:cs="Arial"/>
          <w:szCs w:val="22"/>
          <w:lang w:val="de-CH" w:eastAsia="de-CH"/>
        </w:rPr>
        <w:t xml:space="preserve">«Immobilien» </w:t>
      </w:r>
      <w:r w:rsidRPr="00F617D2">
        <w:rPr>
          <w:rFonts w:cs="Arial"/>
          <w:szCs w:val="22"/>
          <w:lang w:val="de-CH"/>
        </w:rPr>
        <w:t>zugewiesen.</w:t>
      </w:r>
    </w:p>
    <w:p w14:paraId="64FB68F4" w14:textId="77777777" w:rsidR="00A43519" w:rsidRPr="00F617D2" w:rsidRDefault="00A43519" w:rsidP="00A43519">
      <w:pPr>
        <w:pStyle w:val="Listenabsatz"/>
        <w:rPr>
          <w:rFonts w:cs="Arial"/>
          <w:szCs w:val="22"/>
          <w:lang w:val="de-CH"/>
        </w:rPr>
      </w:pPr>
    </w:p>
    <w:p w14:paraId="698C7429" w14:textId="2DDAD12D" w:rsidR="00A43519" w:rsidRPr="00F617D2" w:rsidRDefault="00A43519" w:rsidP="00A43519">
      <w:pPr>
        <w:pStyle w:val="Listenabsatz"/>
        <w:numPr>
          <w:ilvl w:val="1"/>
          <w:numId w:val="49"/>
        </w:numPr>
        <w:tabs>
          <w:tab w:val="left" w:pos="567"/>
        </w:tabs>
        <w:ind w:left="567" w:right="-1" w:hanging="567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 xml:space="preserve">Allfällige Erlöse aus dem Verkauf noch nicht amortisierter Mobilien werden dem Fonds </w:t>
      </w:r>
      <w:r w:rsidRPr="00F617D2">
        <w:rPr>
          <w:rFonts w:cs="Arial"/>
          <w:szCs w:val="22"/>
          <w:lang w:val="de-CH" w:eastAsia="de-CH"/>
        </w:rPr>
        <w:t>«Mobilien» gutgeschrieben.</w:t>
      </w:r>
    </w:p>
    <w:p w14:paraId="23791A20" w14:textId="1B411BAC" w:rsidR="00B503BA" w:rsidRPr="00F617D2" w:rsidRDefault="00B503BA" w:rsidP="00534A85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0EEFB314" w14:textId="77777777" w:rsidR="00291157" w:rsidRPr="00F617D2" w:rsidRDefault="00291157" w:rsidP="00534A85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31D24104" w14:textId="77777777" w:rsidR="00274D90" w:rsidRPr="00F617D2" w:rsidRDefault="009C7005" w:rsidP="00534A85">
      <w:pPr>
        <w:ind w:right="-1"/>
        <w:jc w:val="both"/>
        <w:rPr>
          <w:rFonts w:cs="Arial"/>
          <w:b/>
          <w:sz w:val="23"/>
          <w:szCs w:val="23"/>
          <w:lang w:val="de-CH"/>
        </w:rPr>
      </w:pPr>
      <w:r w:rsidRPr="00F617D2">
        <w:rPr>
          <w:rFonts w:cs="Arial"/>
          <w:b/>
          <w:sz w:val="23"/>
          <w:szCs w:val="23"/>
          <w:lang w:val="de-CH"/>
        </w:rPr>
        <w:t xml:space="preserve">3. </w:t>
      </w:r>
      <w:r w:rsidR="00FD29E0" w:rsidRPr="00F617D2">
        <w:rPr>
          <w:rFonts w:cs="Arial"/>
          <w:b/>
          <w:sz w:val="23"/>
          <w:szCs w:val="23"/>
          <w:lang w:val="de-CH"/>
        </w:rPr>
        <w:t xml:space="preserve">Verwendung der zweckgebundenen </w:t>
      </w:r>
      <w:r w:rsidR="00E05C58" w:rsidRPr="00F617D2">
        <w:rPr>
          <w:rFonts w:cs="Arial"/>
          <w:b/>
          <w:sz w:val="23"/>
          <w:szCs w:val="23"/>
          <w:lang w:val="de-CH"/>
        </w:rPr>
        <w:t xml:space="preserve">Mittel </w:t>
      </w:r>
    </w:p>
    <w:p w14:paraId="6A14F9D0" w14:textId="77777777" w:rsidR="009C7005" w:rsidRPr="00F617D2" w:rsidRDefault="009C7005" w:rsidP="00534A85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52DB79A6" w14:textId="7063AC06" w:rsidR="00B225FA" w:rsidRPr="00F617D2" w:rsidRDefault="00DB6F49" w:rsidP="0056080A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3.</w:t>
      </w:r>
      <w:r w:rsidR="00E544EA" w:rsidRPr="00F617D2">
        <w:rPr>
          <w:rFonts w:cs="Arial"/>
          <w:szCs w:val="22"/>
          <w:lang w:val="de-CH" w:eastAsia="de-CH"/>
        </w:rPr>
        <w:t>1</w:t>
      </w:r>
      <w:r w:rsidR="005D0F54" w:rsidRPr="00F617D2">
        <w:rPr>
          <w:rFonts w:cs="Arial"/>
          <w:szCs w:val="22"/>
          <w:lang w:val="de-CH" w:eastAsia="de-CH"/>
        </w:rPr>
        <w:tab/>
      </w:r>
      <w:r w:rsidR="007F3731" w:rsidRPr="00F617D2">
        <w:rPr>
          <w:rFonts w:cs="Arial"/>
          <w:szCs w:val="22"/>
          <w:lang w:val="de-CH" w:eastAsia="de-CH"/>
        </w:rPr>
        <w:t>Mit</w:t>
      </w:r>
      <w:r w:rsidR="005D0F54" w:rsidRPr="00F617D2">
        <w:rPr>
          <w:rFonts w:cs="Arial"/>
          <w:szCs w:val="22"/>
          <w:lang w:val="de-CH" w:eastAsia="de-CH"/>
        </w:rPr>
        <w:t xml:space="preserve">tel des Fonds «Immobilien» </w:t>
      </w:r>
    </w:p>
    <w:p w14:paraId="41C085B7" w14:textId="74D4B502" w:rsidR="00FD29E0" w:rsidRPr="00F617D2" w:rsidRDefault="00B225FA" w:rsidP="0056080A">
      <w:pPr>
        <w:tabs>
          <w:tab w:val="left" w:pos="567"/>
        </w:tabs>
        <w:autoSpaceDE w:val="0"/>
        <w:autoSpaceDN w:val="0"/>
        <w:adjustRightInd w:val="0"/>
        <w:spacing w:after="60"/>
        <w:ind w:left="567" w:hanging="567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3.1.1</w:t>
      </w:r>
      <w:r w:rsidRPr="00F617D2">
        <w:rPr>
          <w:rFonts w:cs="Arial"/>
          <w:szCs w:val="22"/>
          <w:lang w:val="de-CH" w:eastAsia="de-CH"/>
        </w:rPr>
        <w:tab/>
        <w:t xml:space="preserve">Die Mittel </w:t>
      </w:r>
      <w:r w:rsidR="00886DA9" w:rsidRPr="00F617D2">
        <w:rPr>
          <w:rFonts w:cs="Arial"/>
          <w:szCs w:val="22"/>
          <w:lang w:val="de-CH" w:eastAsia="de-CH"/>
        </w:rPr>
        <w:t xml:space="preserve">dieses Fonds </w:t>
      </w:r>
      <w:r w:rsidR="00FD29E0" w:rsidRPr="00F617D2">
        <w:rPr>
          <w:rFonts w:cs="Arial"/>
          <w:szCs w:val="22"/>
          <w:lang w:val="de-CH" w:eastAsia="de-CH"/>
        </w:rPr>
        <w:t>dürfen für die Beschaffung</w:t>
      </w:r>
      <w:r w:rsidR="002F3092" w:rsidRPr="00F617D2">
        <w:rPr>
          <w:rFonts w:cs="Arial"/>
          <w:szCs w:val="22"/>
          <w:lang w:val="de-CH" w:eastAsia="de-CH"/>
        </w:rPr>
        <w:t>/</w:t>
      </w:r>
      <w:r w:rsidR="00FD29E0" w:rsidRPr="00F617D2">
        <w:rPr>
          <w:rFonts w:cs="Arial"/>
          <w:szCs w:val="22"/>
          <w:lang w:val="de-CH" w:eastAsia="de-CH"/>
        </w:rPr>
        <w:t xml:space="preserve">Wiederbeschaffung </w:t>
      </w:r>
      <w:r w:rsidR="00F25DC1" w:rsidRPr="00F617D2">
        <w:rPr>
          <w:rFonts w:cs="Arial"/>
          <w:szCs w:val="22"/>
          <w:lang w:val="de-CH" w:eastAsia="de-CH"/>
        </w:rPr>
        <w:t xml:space="preserve">und </w:t>
      </w:r>
      <w:r w:rsidR="00FD29E0" w:rsidRPr="00F617D2">
        <w:rPr>
          <w:rFonts w:cs="Arial"/>
          <w:szCs w:val="22"/>
          <w:lang w:val="de-CH" w:eastAsia="de-CH"/>
        </w:rPr>
        <w:t>für die Aufwände/Kosten von Investitionen (Zins</w:t>
      </w:r>
      <w:r w:rsidR="00291157" w:rsidRPr="00F617D2">
        <w:rPr>
          <w:rFonts w:cs="Arial"/>
          <w:szCs w:val="22"/>
          <w:lang w:val="de-CH" w:eastAsia="de-CH"/>
        </w:rPr>
        <w:t>anteil von 50%</w:t>
      </w:r>
      <w:r w:rsidR="00FD29E0" w:rsidRPr="00F617D2">
        <w:rPr>
          <w:rFonts w:cs="Arial"/>
          <w:szCs w:val="22"/>
          <w:lang w:val="de-CH" w:eastAsia="de-CH"/>
        </w:rPr>
        <w:t xml:space="preserve"> und Abschreibungen/Amortisatio</w:t>
      </w:r>
      <w:r w:rsidR="00FD29E0" w:rsidRPr="00F617D2">
        <w:rPr>
          <w:rFonts w:cs="Arial"/>
          <w:szCs w:val="22"/>
          <w:lang w:val="de-CH" w:eastAsia="de-CH"/>
        </w:rPr>
        <w:lastRenderedPageBreak/>
        <w:t>nen)</w:t>
      </w:r>
      <w:r w:rsidR="00C8313A" w:rsidRPr="00F617D2">
        <w:rPr>
          <w:rFonts w:cs="Arial"/>
          <w:szCs w:val="22"/>
          <w:lang w:val="de-CH" w:eastAsia="de-CH"/>
        </w:rPr>
        <w:t xml:space="preserve"> der in der Leistungsvereinb</w:t>
      </w:r>
      <w:r w:rsidR="003977F5" w:rsidRPr="00F617D2">
        <w:rPr>
          <w:rFonts w:cs="Arial"/>
          <w:szCs w:val="22"/>
          <w:lang w:val="de-CH" w:eastAsia="de-CH"/>
        </w:rPr>
        <w:t>a</w:t>
      </w:r>
      <w:r w:rsidR="00C8313A" w:rsidRPr="00F617D2">
        <w:rPr>
          <w:rFonts w:cs="Arial"/>
          <w:szCs w:val="22"/>
          <w:lang w:val="de-CH" w:eastAsia="de-CH"/>
        </w:rPr>
        <w:t>rung geregelten Angebote</w:t>
      </w:r>
      <w:r w:rsidR="00FD29E0" w:rsidRPr="00F617D2">
        <w:rPr>
          <w:rFonts w:cs="Arial"/>
          <w:szCs w:val="22"/>
          <w:lang w:val="de-CH" w:eastAsia="de-CH"/>
        </w:rPr>
        <w:t xml:space="preserve"> in die folgenden Anlagegüter bzw. für Mietkosten der entsprechenden Anlagen </w:t>
      </w:r>
      <w:r w:rsidR="002F3092" w:rsidRPr="00F617D2">
        <w:rPr>
          <w:rFonts w:cs="Arial"/>
          <w:szCs w:val="22"/>
          <w:lang w:val="de-CH" w:eastAsia="de-CH"/>
        </w:rPr>
        <w:t xml:space="preserve">sowie deren Anteil an den gesamten Infrastrukturkosten </w:t>
      </w:r>
      <w:r w:rsidR="00FD29E0" w:rsidRPr="00F617D2">
        <w:rPr>
          <w:rFonts w:cs="Arial"/>
          <w:szCs w:val="22"/>
          <w:lang w:val="de-CH" w:eastAsia="de-CH"/>
        </w:rPr>
        <w:t>verwendet werden:</w:t>
      </w:r>
    </w:p>
    <w:p w14:paraId="726967DF" w14:textId="71AD8E10" w:rsidR="00B225FA" w:rsidRPr="00F617D2" w:rsidRDefault="00FD29E0" w:rsidP="0056080A">
      <w:pPr>
        <w:pStyle w:val="Listenabsatz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60"/>
        <w:ind w:left="357" w:firstLine="210"/>
        <w:contextualSpacing w:val="0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 xml:space="preserve">Struktur, Rohbau, </w:t>
      </w:r>
      <w:r w:rsidR="002F3092" w:rsidRPr="00F617D2">
        <w:rPr>
          <w:rFonts w:cs="Arial"/>
          <w:szCs w:val="22"/>
          <w:lang w:val="de-CH" w:eastAsia="de-CH"/>
        </w:rPr>
        <w:t>Gebäudeh</w:t>
      </w:r>
      <w:r w:rsidRPr="00F617D2">
        <w:rPr>
          <w:rFonts w:cs="Arial"/>
          <w:szCs w:val="22"/>
          <w:lang w:val="de-CH" w:eastAsia="de-CH"/>
        </w:rPr>
        <w:t>ülle</w:t>
      </w:r>
      <w:r w:rsidR="00321AC6" w:rsidRPr="00F617D2">
        <w:rPr>
          <w:rFonts w:cs="Arial"/>
          <w:szCs w:val="22"/>
          <w:lang w:val="de-CH" w:eastAsia="de-CH"/>
        </w:rPr>
        <w:t>,</w:t>
      </w:r>
      <w:r w:rsidR="005D0F54" w:rsidRPr="00F617D2">
        <w:rPr>
          <w:rFonts w:cs="Arial"/>
          <w:szCs w:val="22"/>
          <w:lang w:val="de-CH" w:eastAsia="de-CH"/>
        </w:rPr>
        <w:t xml:space="preserve"> </w:t>
      </w:r>
    </w:p>
    <w:p w14:paraId="5F6DF842" w14:textId="41CBEF10" w:rsidR="00886DA9" w:rsidRPr="00F617D2" w:rsidRDefault="002F3092" w:rsidP="0056080A">
      <w:pPr>
        <w:pStyle w:val="Listenabsatz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60"/>
        <w:ind w:left="357" w:firstLine="210"/>
        <w:contextualSpacing w:val="0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g</w:t>
      </w:r>
      <w:r w:rsidR="00FD29E0" w:rsidRPr="00F617D2">
        <w:rPr>
          <w:rFonts w:cs="Arial"/>
          <w:szCs w:val="22"/>
          <w:lang w:val="de-CH" w:eastAsia="de-CH"/>
        </w:rPr>
        <w:t>ebäudetechnische I</w:t>
      </w:r>
      <w:r w:rsidR="009D7CCB" w:rsidRPr="00F617D2">
        <w:rPr>
          <w:rFonts w:cs="Arial"/>
          <w:szCs w:val="22"/>
          <w:lang w:val="de-CH" w:eastAsia="de-CH"/>
        </w:rPr>
        <w:t>nstallationen</w:t>
      </w:r>
      <w:r w:rsidR="00886DA9" w:rsidRPr="00F617D2">
        <w:rPr>
          <w:rFonts w:cs="Arial"/>
          <w:szCs w:val="22"/>
          <w:lang w:val="de-CH" w:eastAsia="de-CH"/>
        </w:rPr>
        <w:t>,</w:t>
      </w:r>
    </w:p>
    <w:p w14:paraId="71B4283B" w14:textId="7B29F4E1" w:rsidR="009D7CCB" w:rsidRPr="00F617D2" w:rsidRDefault="00886DA9" w:rsidP="0056080A">
      <w:pPr>
        <w:pStyle w:val="Listenabsatz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120"/>
        <w:ind w:firstLine="207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Betriebseinrichtungen.</w:t>
      </w:r>
    </w:p>
    <w:p w14:paraId="754D154E" w14:textId="0ADBBDC2" w:rsidR="00321AC6" w:rsidRPr="00F617D2" w:rsidRDefault="00321AC6" w:rsidP="008F3A32">
      <w:pPr>
        <w:tabs>
          <w:tab w:val="left" w:pos="567"/>
        </w:tabs>
        <w:autoSpaceDE w:val="0"/>
        <w:autoSpaceDN w:val="0"/>
        <w:adjustRightInd w:val="0"/>
        <w:spacing w:after="240"/>
        <w:ind w:left="567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Die Amortisationsdauer gemäss den Buchstaben a-c orientiert sich an den Richtlinien zum Abgeltungsmodell.</w:t>
      </w:r>
    </w:p>
    <w:p w14:paraId="0F89E721" w14:textId="6E2B4477" w:rsidR="00B225FA" w:rsidRPr="00F617D2" w:rsidRDefault="00B225FA" w:rsidP="0056080A">
      <w:pPr>
        <w:tabs>
          <w:tab w:val="left" w:pos="567"/>
        </w:tabs>
        <w:autoSpaceDE w:val="0"/>
        <w:autoSpaceDN w:val="0"/>
        <w:adjustRightInd w:val="0"/>
        <w:spacing w:after="60"/>
        <w:ind w:left="567" w:hanging="567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3.1.2</w:t>
      </w:r>
      <w:r w:rsidRPr="00F617D2">
        <w:rPr>
          <w:rFonts w:cs="Arial"/>
          <w:szCs w:val="22"/>
          <w:lang w:val="de-CH" w:eastAsia="de-CH"/>
        </w:rPr>
        <w:tab/>
        <w:t xml:space="preserve">Die Fondsmittel dürfen zudem verwendet werden für </w:t>
      </w:r>
    </w:p>
    <w:p w14:paraId="67248F0D" w14:textId="77777777" w:rsidR="007A5637" w:rsidRPr="00F617D2" w:rsidRDefault="00B225FA" w:rsidP="0056080A">
      <w:pPr>
        <w:pStyle w:val="Listenabsatz"/>
        <w:numPr>
          <w:ilvl w:val="0"/>
          <w:numId w:val="47"/>
        </w:numPr>
        <w:tabs>
          <w:tab w:val="left" w:pos="570"/>
          <w:tab w:val="left" w:pos="993"/>
        </w:tabs>
        <w:autoSpaceDE w:val="0"/>
        <w:autoSpaceDN w:val="0"/>
        <w:adjustRightInd w:val="0"/>
        <w:spacing w:after="60"/>
        <w:ind w:left="357" w:firstLine="210"/>
        <w:contextualSpacing w:val="0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 xml:space="preserve">die anteilmässige </w:t>
      </w:r>
      <w:r w:rsidR="007A5637" w:rsidRPr="00F617D2">
        <w:rPr>
          <w:rFonts w:cs="Arial"/>
          <w:szCs w:val="22"/>
          <w:lang w:val="de-CH" w:eastAsia="de-CH"/>
        </w:rPr>
        <w:t>Bezahlung von Baurechtszinsen,</w:t>
      </w:r>
    </w:p>
    <w:p w14:paraId="421A8F21" w14:textId="1B85629B" w:rsidR="00B225FA" w:rsidRPr="00F617D2" w:rsidRDefault="00B225FA" w:rsidP="0056080A">
      <w:pPr>
        <w:pStyle w:val="Listenabsatz"/>
        <w:numPr>
          <w:ilvl w:val="0"/>
          <w:numId w:val="47"/>
        </w:numPr>
        <w:tabs>
          <w:tab w:val="left" w:pos="570"/>
          <w:tab w:val="left" w:pos="993"/>
        </w:tabs>
        <w:autoSpaceDE w:val="0"/>
        <w:autoSpaceDN w:val="0"/>
        <w:adjustRightInd w:val="0"/>
        <w:spacing w:after="60"/>
        <w:ind w:left="357" w:firstLine="210"/>
        <w:contextualSpacing w:val="0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für die Verzinsung und Amortisation von Krediten für den Landerwerb,</w:t>
      </w:r>
    </w:p>
    <w:p w14:paraId="343CD1FA" w14:textId="55A3BE9D" w:rsidR="00B225FA" w:rsidRPr="00F617D2" w:rsidRDefault="0054638E" w:rsidP="0056080A">
      <w:pPr>
        <w:pStyle w:val="Listenabsatz"/>
        <w:numPr>
          <w:ilvl w:val="0"/>
          <w:numId w:val="47"/>
        </w:numPr>
        <w:tabs>
          <w:tab w:val="left" w:pos="570"/>
          <w:tab w:val="left" w:pos="993"/>
        </w:tabs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die Amortisation von Investitionsbeiträgen, welche der Kanton bis 31. Dezember 2021 gewährt hat, während 25 Jahren.</w:t>
      </w:r>
    </w:p>
    <w:p w14:paraId="279C6A17" w14:textId="77777777" w:rsidR="0014163E" w:rsidRPr="00F617D2" w:rsidRDefault="0014163E" w:rsidP="0056080A">
      <w:pPr>
        <w:tabs>
          <w:tab w:val="left" w:pos="567"/>
        </w:tabs>
        <w:ind w:right="-1"/>
        <w:jc w:val="both"/>
        <w:rPr>
          <w:rFonts w:cs="Arial"/>
          <w:sz w:val="23"/>
          <w:szCs w:val="23"/>
          <w:lang w:val="de-CH"/>
        </w:rPr>
      </w:pPr>
    </w:p>
    <w:p w14:paraId="369EB1CC" w14:textId="23843F32" w:rsidR="0014163E" w:rsidRPr="00F617D2" w:rsidRDefault="0014163E" w:rsidP="0014163E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3.</w:t>
      </w:r>
      <w:r w:rsidR="007F3731" w:rsidRPr="00F617D2">
        <w:rPr>
          <w:rFonts w:cs="Arial"/>
          <w:szCs w:val="22"/>
          <w:lang w:val="de-CH" w:eastAsia="de-CH"/>
        </w:rPr>
        <w:t>2</w:t>
      </w:r>
      <w:r w:rsidR="007F3731" w:rsidRPr="00F617D2">
        <w:rPr>
          <w:rFonts w:cs="Arial"/>
          <w:szCs w:val="22"/>
          <w:lang w:val="de-CH" w:eastAsia="de-CH"/>
        </w:rPr>
        <w:tab/>
        <w:t>Mitt</w:t>
      </w:r>
      <w:r w:rsidR="00E923F0" w:rsidRPr="00F617D2">
        <w:rPr>
          <w:rFonts w:cs="Arial"/>
          <w:szCs w:val="22"/>
          <w:lang w:val="de-CH" w:eastAsia="de-CH"/>
        </w:rPr>
        <w:t>el des Fonds «M</w:t>
      </w:r>
      <w:r w:rsidRPr="00F617D2">
        <w:rPr>
          <w:rFonts w:cs="Arial"/>
          <w:szCs w:val="22"/>
          <w:lang w:val="de-CH" w:eastAsia="de-CH"/>
        </w:rPr>
        <w:t xml:space="preserve">obilien» </w:t>
      </w:r>
    </w:p>
    <w:p w14:paraId="517267FD" w14:textId="271C8C5D" w:rsidR="0014163E" w:rsidRPr="00F617D2" w:rsidRDefault="0014163E" w:rsidP="0056080A">
      <w:pPr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 xml:space="preserve">Die Mittel dieses Fonds </w:t>
      </w:r>
      <w:r w:rsidR="00321AC6" w:rsidRPr="00F617D2">
        <w:rPr>
          <w:rFonts w:cs="Arial"/>
          <w:szCs w:val="22"/>
          <w:lang w:val="de-CH" w:eastAsia="de-CH"/>
        </w:rPr>
        <w:t xml:space="preserve">(Kontogruppe Mobilien) </w:t>
      </w:r>
      <w:r w:rsidRPr="00F617D2">
        <w:rPr>
          <w:rFonts w:cs="Arial"/>
          <w:szCs w:val="22"/>
          <w:lang w:val="de-CH" w:eastAsia="de-CH"/>
        </w:rPr>
        <w:t xml:space="preserve">dürfen verwendet werden für die </w:t>
      </w:r>
      <w:r w:rsidR="00321AC6" w:rsidRPr="00F617D2">
        <w:rPr>
          <w:rFonts w:cs="Arial"/>
          <w:szCs w:val="22"/>
          <w:lang w:val="de-CH" w:eastAsia="de-CH"/>
        </w:rPr>
        <w:t xml:space="preserve">Abschreibung und </w:t>
      </w:r>
      <w:r w:rsidRPr="00F617D2">
        <w:rPr>
          <w:rFonts w:cs="Arial"/>
          <w:szCs w:val="22"/>
          <w:lang w:val="de-CH" w:eastAsia="de-CH"/>
        </w:rPr>
        <w:t xml:space="preserve">Beschaffung/Wiederbeschaffung von </w:t>
      </w:r>
      <w:r w:rsidR="005D0F54" w:rsidRPr="00F617D2">
        <w:rPr>
          <w:rFonts w:cs="Arial"/>
          <w:szCs w:val="22"/>
          <w:lang w:val="de-CH" w:eastAsia="de-CH"/>
        </w:rPr>
        <w:t>Mobiliar</w:t>
      </w:r>
      <w:r w:rsidRPr="00F617D2">
        <w:rPr>
          <w:rFonts w:cs="Arial"/>
          <w:szCs w:val="22"/>
          <w:lang w:val="de-CH" w:eastAsia="de-CH"/>
        </w:rPr>
        <w:t xml:space="preserve"> und von mobiler technischer Ausrüstung.</w:t>
      </w:r>
    </w:p>
    <w:p w14:paraId="116AA981" w14:textId="77777777" w:rsidR="0014163E" w:rsidRPr="00F617D2" w:rsidRDefault="0014163E" w:rsidP="0056080A">
      <w:pPr>
        <w:rPr>
          <w:rFonts w:cs="Arial"/>
          <w:szCs w:val="22"/>
          <w:lang w:val="de-CH" w:eastAsia="de-CH"/>
        </w:rPr>
      </w:pPr>
    </w:p>
    <w:p w14:paraId="54AB8961" w14:textId="1FD202F7" w:rsidR="0014163E" w:rsidRPr="00F617D2" w:rsidRDefault="0014163E" w:rsidP="0056080A">
      <w:pPr>
        <w:tabs>
          <w:tab w:val="left" w:pos="567"/>
        </w:tabs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3.3</w:t>
      </w:r>
      <w:r w:rsidRPr="00F617D2">
        <w:rPr>
          <w:rFonts w:cs="Arial"/>
          <w:szCs w:val="22"/>
          <w:lang w:val="de-CH" w:eastAsia="de-CH"/>
        </w:rPr>
        <w:tab/>
        <w:t xml:space="preserve">Die Mittel der Fonds «Immobilien» und «Mobilien» dürfen nicht zur Finanzierung von Kosten </w:t>
      </w:r>
      <w:r w:rsidR="00BE2CAD" w:rsidRPr="00F617D2">
        <w:rPr>
          <w:rFonts w:cs="Arial"/>
          <w:szCs w:val="22"/>
          <w:lang w:val="de-CH" w:eastAsia="de-CH"/>
        </w:rPr>
        <w:t xml:space="preserve">des Betriebs und Unterhalts der Infrastruktur </w:t>
      </w:r>
      <w:r w:rsidRPr="00F617D2">
        <w:rPr>
          <w:rFonts w:cs="Arial"/>
          <w:szCs w:val="22"/>
          <w:lang w:val="de-CH" w:eastAsia="de-CH"/>
        </w:rPr>
        <w:t xml:space="preserve">verwendet werden, für welche die Betriebskostenpauschale zur Verfügung steht. Es sind dies insbesondere die Kosten für Heizung, Reinigung, Hauswart- und Gartenarbeiten, </w:t>
      </w:r>
      <w:r w:rsidR="00436CBC" w:rsidRPr="00F617D2">
        <w:rPr>
          <w:rFonts w:cs="Arial"/>
          <w:szCs w:val="22"/>
          <w:lang w:val="de-CH" w:eastAsia="de-CH"/>
        </w:rPr>
        <w:t xml:space="preserve">Reparaturen und «kleiner» Unterhalt, </w:t>
      </w:r>
      <w:r w:rsidRPr="00F617D2">
        <w:rPr>
          <w:rFonts w:cs="Arial"/>
          <w:szCs w:val="22"/>
          <w:lang w:val="de-CH" w:eastAsia="de-CH"/>
        </w:rPr>
        <w:t>Hard- und Softwareinfrastruktur sowie Softwarelizenzen.</w:t>
      </w:r>
    </w:p>
    <w:p w14:paraId="4D71DE95" w14:textId="77777777" w:rsidR="0014163E" w:rsidRPr="00F617D2" w:rsidRDefault="0014163E" w:rsidP="0056080A">
      <w:pPr>
        <w:rPr>
          <w:rFonts w:cs="Arial"/>
          <w:szCs w:val="22"/>
          <w:lang w:val="de-CH" w:eastAsia="de-CH"/>
        </w:rPr>
      </w:pPr>
    </w:p>
    <w:p w14:paraId="39DB551E" w14:textId="77777777" w:rsidR="00BE2CAD" w:rsidRPr="00F617D2" w:rsidRDefault="00BE2CAD" w:rsidP="00BE2CAD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2E5D2416" w14:textId="0D41A0D5" w:rsidR="00BE2CAD" w:rsidRPr="00F617D2" w:rsidRDefault="00BE2CAD" w:rsidP="00BE2CAD">
      <w:pPr>
        <w:spacing w:after="120"/>
        <w:ind w:right="-1"/>
        <w:jc w:val="both"/>
        <w:rPr>
          <w:rFonts w:cs="Arial"/>
          <w:b/>
          <w:sz w:val="23"/>
          <w:szCs w:val="23"/>
          <w:lang w:val="de-CH"/>
        </w:rPr>
      </w:pPr>
      <w:r w:rsidRPr="00F617D2">
        <w:rPr>
          <w:rFonts w:cs="Arial"/>
          <w:b/>
          <w:sz w:val="23"/>
          <w:szCs w:val="23"/>
          <w:lang w:val="de-CH"/>
        </w:rPr>
        <w:t xml:space="preserve">4. Kontrolle der </w:t>
      </w:r>
      <w:r w:rsidR="00E923F0" w:rsidRPr="00F617D2">
        <w:rPr>
          <w:rFonts w:cs="Arial"/>
          <w:b/>
          <w:sz w:val="23"/>
          <w:szCs w:val="23"/>
          <w:lang w:val="de-CH"/>
        </w:rPr>
        <w:t xml:space="preserve">Äufnung und Verwendung der Fondsmittel </w:t>
      </w:r>
    </w:p>
    <w:p w14:paraId="463E1EB5" w14:textId="77777777" w:rsidR="00BE2CAD" w:rsidRPr="00F617D2" w:rsidRDefault="00BE2CAD" w:rsidP="00BE2CAD">
      <w:pPr>
        <w:spacing w:after="120"/>
        <w:ind w:right="-1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>Es ist ein detaillierter buchhalterischer Nachweis über die Speisung der Fonds und die Verwendung der entsprechenden Mittel zu führen.</w:t>
      </w:r>
    </w:p>
    <w:p w14:paraId="582CE0DE" w14:textId="32628F6D" w:rsidR="00BE2CAD" w:rsidRPr="00F617D2" w:rsidRDefault="00BE2CAD" w:rsidP="0056080A">
      <w:pPr>
        <w:ind w:right="-1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 xml:space="preserve">Die </w:t>
      </w:r>
      <w:r w:rsidRPr="00F617D2">
        <w:rPr>
          <w:rFonts w:cs="Arial"/>
          <w:szCs w:val="22"/>
          <w:highlight w:val="yellow"/>
          <w:lang w:val="de-CH"/>
        </w:rPr>
        <w:t>Geschäftsleitung</w:t>
      </w:r>
      <w:r w:rsidRPr="00F617D2">
        <w:rPr>
          <w:rFonts w:cs="Arial"/>
          <w:szCs w:val="22"/>
          <w:lang w:val="de-CH"/>
        </w:rPr>
        <w:t xml:space="preserve"> berichtet dem </w:t>
      </w:r>
      <w:r w:rsidRPr="00F617D2">
        <w:rPr>
          <w:rFonts w:cs="Arial"/>
          <w:szCs w:val="22"/>
          <w:highlight w:val="yellow"/>
          <w:lang w:val="de-CH"/>
        </w:rPr>
        <w:t>Vorstand/Stiftungsrat</w:t>
      </w:r>
      <w:r w:rsidRPr="00F617D2">
        <w:rPr>
          <w:rFonts w:cs="Arial"/>
          <w:szCs w:val="22"/>
          <w:lang w:val="de-CH"/>
        </w:rPr>
        <w:t xml:space="preserve"> jährlich über den Fondsbestand und die zweckkonforme Mittelverwendung. Dieser Bericht wird im Rahmen der Rechnungsrevision geprüft</w:t>
      </w:r>
      <w:r w:rsidR="00321AC6" w:rsidRPr="00F617D2">
        <w:rPr>
          <w:rFonts w:cs="Arial"/>
          <w:szCs w:val="22"/>
          <w:lang w:val="de-CH"/>
        </w:rPr>
        <w:t xml:space="preserve"> und im Anhang zur Jahresrechnung publiziert</w:t>
      </w:r>
      <w:r w:rsidRPr="00F617D2">
        <w:rPr>
          <w:rFonts w:cs="Arial"/>
          <w:szCs w:val="22"/>
          <w:lang w:val="de-CH"/>
        </w:rPr>
        <w:t>.</w:t>
      </w:r>
    </w:p>
    <w:p w14:paraId="63ECCEBC" w14:textId="77777777" w:rsidR="00BE2CAD" w:rsidRPr="00F617D2" w:rsidRDefault="00BE2CAD" w:rsidP="0056080A">
      <w:pPr>
        <w:rPr>
          <w:rFonts w:cs="Arial"/>
          <w:szCs w:val="22"/>
          <w:lang w:val="de-CH" w:eastAsia="de-CH"/>
        </w:rPr>
      </w:pPr>
    </w:p>
    <w:p w14:paraId="7B724057" w14:textId="77777777" w:rsidR="00F52C34" w:rsidRPr="00F617D2" w:rsidRDefault="00F52C34" w:rsidP="0056080A">
      <w:pPr>
        <w:rPr>
          <w:rFonts w:cs="Arial"/>
          <w:sz w:val="23"/>
          <w:szCs w:val="23"/>
          <w:lang w:val="de-CH"/>
        </w:rPr>
      </w:pPr>
    </w:p>
    <w:p w14:paraId="7F801FA9" w14:textId="753CEB03" w:rsidR="00E544EA" w:rsidRPr="00F617D2" w:rsidRDefault="00BE2CAD" w:rsidP="0056080A">
      <w:pPr>
        <w:spacing w:after="120"/>
        <w:ind w:right="-1"/>
        <w:jc w:val="both"/>
        <w:rPr>
          <w:rFonts w:cs="Arial"/>
          <w:b/>
          <w:sz w:val="23"/>
          <w:szCs w:val="23"/>
          <w:lang w:val="de-CH"/>
        </w:rPr>
      </w:pPr>
      <w:r w:rsidRPr="00F617D2">
        <w:rPr>
          <w:rFonts w:cs="Arial"/>
          <w:b/>
          <w:sz w:val="23"/>
          <w:szCs w:val="23"/>
          <w:lang w:val="de-CH"/>
        </w:rPr>
        <w:t>5</w:t>
      </w:r>
      <w:r w:rsidR="00E544EA" w:rsidRPr="00F617D2">
        <w:rPr>
          <w:rFonts w:cs="Arial"/>
          <w:b/>
          <w:sz w:val="23"/>
          <w:szCs w:val="23"/>
          <w:lang w:val="de-CH"/>
        </w:rPr>
        <w:t>. Anlage freier Fondsmittel</w:t>
      </w:r>
    </w:p>
    <w:p w14:paraId="791A1D24" w14:textId="0B30A36E" w:rsidR="00E544EA" w:rsidRPr="00F617D2" w:rsidRDefault="00E544EA" w:rsidP="00E544EA">
      <w:pPr>
        <w:ind w:right="-1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 xml:space="preserve">Entstehen </w:t>
      </w:r>
      <w:r w:rsidR="0010198A" w:rsidRPr="00F617D2">
        <w:rPr>
          <w:rFonts w:cs="Arial"/>
          <w:szCs w:val="22"/>
          <w:lang w:val="de-CH"/>
        </w:rPr>
        <w:t>freie liquide Fondsmittel</w:t>
      </w:r>
      <w:r w:rsidRPr="00F617D2">
        <w:rPr>
          <w:rFonts w:cs="Arial"/>
          <w:szCs w:val="22"/>
          <w:lang w:val="de-CH"/>
        </w:rPr>
        <w:t xml:space="preserve">, können sie in </w:t>
      </w:r>
      <w:r w:rsidR="007E5FDF" w:rsidRPr="00F617D2">
        <w:rPr>
          <w:rFonts w:cs="Arial"/>
          <w:szCs w:val="22"/>
          <w:lang w:val="de-CH"/>
        </w:rPr>
        <w:t xml:space="preserve">Anlagen gemäss </w:t>
      </w:r>
      <w:r w:rsidR="00BC7152" w:rsidRPr="00F617D2">
        <w:rPr>
          <w:rFonts w:cs="Arial"/>
          <w:szCs w:val="22"/>
          <w:lang w:val="de-CH"/>
        </w:rPr>
        <w:t xml:space="preserve">den massgebenden </w:t>
      </w:r>
      <w:r w:rsidR="007E5FDF" w:rsidRPr="00F617D2">
        <w:rPr>
          <w:rFonts w:cs="Arial"/>
          <w:szCs w:val="22"/>
          <w:lang w:val="de-CH"/>
        </w:rPr>
        <w:t>Bestimmungen</w:t>
      </w:r>
      <w:r w:rsidR="00291157" w:rsidRPr="00F617D2">
        <w:rPr>
          <w:rFonts w:cs="Arial"/>
          <w:szCs w:val="22"/>
          <w:lang w:val="de-CH"/>
        </w:rPr>
        <w:t xml:space="preserve"> </w:t>
      </w:r>
      <w:r w:rsidR="007F3731" w:rsidRPr="00F617D2">
        <w:rPr>
          <w:rFonts w:cs="Arial"/>
          <w:szCs w:val="22"/>
          <w:lang w:val="de-CH"/>
        </w:rPr>
        <w:t xml:space="preserve">(Ziffer 1.1) </w:t>
      </w:r>
      <w:r w:rsidRPr="00F617D2">
        <w:rPr>
          <w:rFonts w:cs="Arial"/>
          <w:szCs w:val="22"/>
          <w:lang w:val="de-CH"/>
        </w:rPr>
        <w:t xml:space="preserve">investiert oder als Darlehen zur Finanzierung von Infrastrukturprojekten anderer Betriebszweige oder Betriebe </w:t>
      </w:r>
      <w:r w:rsidR="00BE2CAD" w:rsidRPr="00F617D2">
        <w:rPr>
          <w:rFonts w:cs="Arial"/>
          <w:szCs w:val="22"/>
          <w:lang w:val="de-CH"/>
        </w:rPr>
        <w:t xml:space="preserve">der Institution </w:t>
      </w:r>
      <w:r w:rsidRPr="00F617D2">
        <w:rPr>
          <w:rFonts w:cs="Arial"/>
          <w:szCs w:val="22"/>
          <w:lang w:val="de-CH"/>
        </w:rPr>
        <w:t>gewährt werden.</w:t>
      </w:r>
    </w:p>
    <w:p w14:paraId="134875E1" w14:textId="77777777" w:rsidR="00B503BA" w:rsidRPr="00F617D2" w:rsidRDefault="00B503BA" w:rsidP="00E544EA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5DDEE2FF" w14:textId="77777777" w:rsidR="00E544EA" w:rsidRPr="00F617D2" w:rsidRDefault="00E544EA" w:rsidP="00E544EA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4AB73B8F" w14:textId="48A0FF03" w:rsidR="00B503BA" w:rsidRPr="00F617D2" w:rsidRDefault="00BE2CAD" w:rsidP="0056080A">
      <w:pPr>
        <w:spacing w:after="120"/>
        <w:ind w:right="-1"/>
        <w:jc w:val="both"/>
        <w:rPr>
          <w:rFonts w:cs="Arial"/>
          <w:b/>
          <w:sz w:val="23"/>
          <w:szCs w:val="23"/>
          <w:lang w:val="de-CH"/>
        </w:rPr>
      </w:pPr>
      <w:r w:rsidRPr="00F617D2">
        <w:rPr>
          <w:rFonts w:cs="Arial"/>
          <w:b/>
          <w:sz w:val="23"/>
          <w:szCs w:val="23"/>
          <w:lang w:val="de-CH"/>
        </w:rPr>
        <w:t>6</w:t>
      </w:r>
      <w:r w:rsidR="00B503BA" w:rsidRPr="00F617D2">
        <w:rPr>
          <w:rFonts w:cs="Arial"/>
          <w:b/>
          <w:sz w:val="23"/>
          <w:szCs w:val="23"/>
          <w:lang w:val="de-CH"/>
        </w:rPr>
        <w:t>. Rückerstattungspflichtige Investitionsbeiträge</w:t>
      </w:r>
    </w:p>
    <w:p w14:paraId="03BD47BD" w14:textId="023B9671" w:rsidR="00B503BA" w:rsidRPr="00F617D2" w:rsidRDefault="007A5637" w:rsidP="00534A85">
      <w:pPr>
        <w:ind w:right="-1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>R</w:t>
      </w:r>
      <w:r w:rsidR="00E41F24" w:rsidRPr="00F617D2">
        <w:rPr>
          <w:rFonts w:cs="Arial"/>
          <w:szCs w:val="22"/>
          <w:lang w:val="de-CH"/>
        </w:rPr>
        <w:t xml:space="preserve">ückerstattungspflichtige </w:t>
      </w:r>
      <w:r w:rsidR="00B503BA" w:rsidRPr="00F617D2">
        <w:rPr>
          <w:rFonts w:cs="Arial"/>
          <w:szCs w:val="22"/>
          <w:lang w:val="de-CH"/>
        </w:rPr>
        <w:t>Investitionsbeiträge</w:t>
      </w:r>
      <w:r w:rsidR="00E41F24" w:rsidRPr="00F617D2">
        <w:rPr>
          <w:rFonts w:cs="Arial"/>
          <w:szCs w:val="22"/>
          <w:lang w:val="de-CH"/>
        </w:rPr>
        <w:t xml:space="preserve"> des Kantons </w:t>
      </w:r>
      <w:r w:rsidRPr="00F617D2">
        <w:rPr>
          <w:rFonts w:cs="Arial"/>
          <w:szCs w:val="22"/>
          <w:lang w:val="de-CH"/>
        </w:rPr>
        <w:t xml:space="preserve">sind </w:t>
      </w:r>
      <w:r w:rsidR="00B503BA" w:rsidRPr="00F617D2">
        <w:rPr>
          <w:rFonts w:cs="Arial"/>
          <w:szCs w:val="22"/>
          <w:lang w:val="de-CH"/>
        </w:rPr>
        <w:t>als langfristige Verbindlichkeiten im Fremdkapital in der Gruppe 250 zu führen. Der im Folgejahr fällige Betrag ist jeweils in die kurzfristigen Verbindlichkeiten in die Gruppe 220 umzubuchen.</w:t>
      </w:r>
    </w:p>
    <w:p w14:paraId="0F75CE4B" w14:textId="4534F2C3" w:rsidR="00B503BA" w:rsidRPr="00F617D2" w:rsidRDefault="00B503BA" w:rsidP="00534A85">
      <w:pPr>
        <w:ind w:right="-1"/>
        <w:jc w:val="both"/>
        <w:rPr>
          <w:rFonts w:cs="Arial"/>
          <w:szCs w:val="22"/>
          <w:lang w:val="de-CH"/>
        </w:rPr>
      </w:pPr>
    </w:p>
    <w:p w14:paraId="3577C24D" w14:textId="77777777" w:rsidR="00B503BA" w:rsidRPr="00F617D2" w:rsidRDefault="00B503BA" w:rsidP="00534A85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4E65E082" w14:textId="43072399" w:rsidR="009C7005" w:rsidRPr="00F617D2" w:rsidRDefault="00BE2CAD" w:rsidP="0056080A">
      <w:pPr>
        <w:spacing w:after="120"/>
        <w:ind w:right="-1"/>
        <w:jc w:val="both"/>
        <w:rPr>
          <w:rFonts w:cs="Arial"/>
          <w:b/>
          <w:sz w:val="23"/>
          <w:szCs w:val="23"/>
          <w:lang w:val="de-CH"/>
        </w:rPr>
      </w:pPr>
      <w:r w:rsidRPr="00F617D2">
        <w:rPr>
          <w:rFonts w:cs="Arial"/>
          <w:b/>
          <w:sz w:val="23"/>
          <w:szCs w:val="23"/>
          <w:lang w:val="de-CH"/>
        </w:rPr>
        <w:t>7</w:t>
      </w:r>
      <w:r w:rsidR="00B503BA" w:rsidRPr="00F617D2">
        <w:rPr>
          <w:rFonts w:cs="Arial"/>
          <w:b/>
          <w:sz w:val="23"/>
          <w:szCs w:val="23"/>
          <w:lang w:val="de-CH"/>
        </w:rPr>
        <w:t xml:space="preserve">. </w:t>
      </w:r>
      <w:r w:rsidR="00525D20" w:rsidRPr="00F617D2">
        <w:rPr>
          <w:rFonts w:cs="Arial"/>
          <w:b/>
          <w:sz w:val="23"/>
          <w:szCs w:val="23"/>
          <w:lang w:val="de-CH"/>
        </w:rPr>
        <w:t>Mittelv</w:t>
      </w:r>
      <w:r w:rsidR="00B503BA" w:rsidRPr="00F617D2">
        <w:rPr>
          <w:rFonts w:cs="Arial"/>
          <w:b/>
          <w:sz w:val="23"/>
          <w:szCs w:val="23"/>
          <w:lang w:val="de-CH"/>
        </w:rPr>
        <w:t>erw</w:t>
      </w:r>
      <w:r w:rsidR="00525D20" w:rsidRPr="00F617D2">
        <w:rPr>
          <w:rFonts w:cs="Arial"/>
          <w:b/>
          <w:sz w:val="23"/>
          <w:szCs w:val="23"/>
          <w:lang w:val="de-CH"/>
        </w:rPr>
        <w:t xml:space="preserve">endung </w:t>
      </w:r>
      <w:r w:rsidR="00B503BA" w:rsidRPr="00F617D2">
        <w:rPr>
          <w:rFonts w:cs="Arial"/>
          <w:b/>
          <w:sz w:val="23"/>
          <w:szCs w:val="23"/>
          <w:lang w:val="de-CH"/>
        </w:rPr>
        <w:t>bei Auflösung des Fonds</w:t>
      </w:r>
    </w:p>
    <w:p w14:paraId="28A92940" w14:textId="254AF20C" w:rsidR="00B503BA" w:rsidRPr="00F617D2" w:rsidRDefault="00B503BA" w:rsidP="002D72F5">
      <w:pPr>
        <w:autoSpaceDE w:val="0"/>
        <w:autoSpaceDN w:val="0"/>
        <w:adjustRightInd w:val="0"/>
        <w:rPr>
          <w:rFonts w:cs="Arial"/>
          <w:szCs w:val="22"/>
          <w:lang w:val="de-CH" w:eastAsia="de-CH"/>
        </w:rPr>
      </w:pPr>
      <w:r w:rsidRPr="00F617D2">
        <w:rPr>
          <w:rFonts w:cs="Arial"/>
          <w:szCs w:val="22"/>
          <w:lang w:val="de-CH" w:eastAsia="de-CH"/>
        </w:rPr>
        <w:t>Bei Auflösung</w:t>
      </w:r>
      <w:r w:rsidR="00525D20" w:rsidRPr="00F617D2">
        <w:rPr>
          <w:rFonts w:cs="Arial"/>
          <w:szCs w:val="22"/>
          <w:lang w:val="de-CH" w:eastAsia="de-CH"/>
        </w:rPr>
        <w:t xml:space="preserve"> </w:t>
      </w:r>
      <w:r w:rsidR="007F3731" w:rsidRPr="00F617D2">
        <w:rPr>
          <w:rFonts w:cs="Arial"/>
          <w:szCs w:val="22"/>
          <w:lang w:val="de-CH" w:eastAsia="de-CH"/>
        </w:rPr>
        <w:t>eines</w:t>
      </w:r>
      <w:r w:rsidR="00525D20" w:rsidRPr="00F617D2">
        <w:rPr>
          <w:rFonts w:cs="Arial"/>
          <w:szCs w:val="22"/>
          <w:lang w:val="de-CH" w:eastAsia="de-CH"/>
        </w:rPr>
        <w:t xml:space="preserve"> Fonds </w:t>
      </w:r>
      <w:r w:rsidR="0010198A" w:rsidRPr="00F617D2">
        <w:rPr>
          <w:rFonts w:cs="Arial"/>
          <w:szCs w:val="22"/>
          <w:lang w:val="de-CH" w:eastAsia="de-CH"/>
        </w:rPr>
        <w:t xml:space="preserve">werden </w:t>
      </w:r>
      <w:r w:rsidRPr="00F617D2">
        <w:rPr>
          <w:rFonts w:cs="Arial"/>
          <w:szCs w:val="22"/>
          <w:lang w:val="de-CH" w:eastAsia="de-CH"/>
        </w:rPr>
        <w:t xml:space="preserve">die restlichen Mittel </w:t>
      </w:r>
      <w:r w:rsidR="002D72F5" w:rsidRPr="00F617D2">
        <w:rPr>
          <w:rFonts w:cs="Arial"/>
          <w:szCs w:val="22"/>
          <w:lang w:val="de-CH" w:eastAsia="de-CH"/>
        </w:rPr>
        <w:t xml:space="preserve">dem </w:t>
      </w:r>
      <w:r w:rsidR="007F3731" w:rsidRPr="00F617D2">
        <w:rPr>
          <w:rFonts w:cs="Arial"/>
          <w:szCs w:val="22"/>
          <w:lang w:val="de-CH" w:eastAsia="de-CH"/>
        </w:rPr>
        <w:t>AKVB od</w:t>
      </w:r>
      <w:r w:rsidR="002D72F5" w:rsidRPr="00F617D2">
        <w:rPr>
          <w:rFonts w:cs="Arial"/>
          <w:szCs w:val="22"/>
          <w:lang w:val="de-CH" w:eastAsia="de-CH"/>
        </w:rPr>
        <w:t xml:space="preserve">er </w:t>
      </w:r>
      <w:r w:rsidRPr="00F617D2">
        <w:rPr>
          <w:rFonts w:cs="Arial"/>
          <w:szCs w:val="22"/>
          <w:lang w:val="de-CH" w:eastAsia="de-CH"/>
        </w:rPr>
        <w:t>in Absprache mit d</w:t>
      </w:r>
      <w:r w:rsidR="002D72F5" w:rsidRPr="00F617D2">
        <w:rPr>
          <w:rFonts w:cs="Arial"/>
          <w:szCs w:val="22"/>
          <w:lang w:val="de-CH" w:eastAsia="de-CH"/>
        </w:rPr>
        <w:t xml:space="preserve">iesem </w:t>
      </w:r>
      <w:r w:rsidRPr="00F617D2">
        <w:rPr>
          <w:rFonts w:cs="Arial"/>
          <w:szCs w:val="22"/>
          <w:lang w:val="de-CH" w:eastAsia="de-CH"/>
        </w:rPr>
        <w:t xml:space="preserve">einer Einrichtung </w:t>
      </w:r>
      <w:r w:rsidR="00E923F0" w:rsidRPr="00F617D2">
        <w:rPr>
          <w:rFonts w:cs="Arial"/>
          <w:szCs w:val="22"/>
          <w:lang w:val="de-CH" w:eastAsia="de-CH"/>
        </w:rPr>
        <w:t xml:space="preserve">im Kanton Bern </w:t>
      </w:r>
      <w:r w:rsidRPr="00F617D2">
        <w:rPr>
          <w:rFonts w:cs="Arial"/>
          <w:szCs w:val="22"/>
          <w:lang w:val="de-CH" w:eastAsia="de-CH"/>
        </w:rPr>
        <w:t>mit demselben Zweck</w:t>
      </w:r>
      <w:r w:rsidR="00E41F24" w:rsidRPr="00F617D2">
        <w:rPr>
          <w:rFonts w:cs="Arial"/>
          <w:szCs w:val="22"/>
          <w:lang w:val="de-CH" w:eastAsia="de-CH"/>
        </w:rPr>
        <w:t xml:space="preserve"> </w:t>
      </w:r>
      <w:r w:rsidR="0010198A" w:rsidRPr="00F617D2">
        <w:rPr>
          <w:rFonts w:cs="Arial"/>
          <w:szCs w:val="22"/>
          <w:lang w:val="de-CH" w:eastAsia="de-CH"/>
        </w:rPr>
        <w:t xml:space="preserve">übergeben. </w:t>
      </w:r>
    </w:p>
    <w:p w14:paraId="7CA057F5" w14:textId="77777777" w:rsidR="00B503BA" w:rsidRPr="00F617D2" w:rsidRDefault="00B503BA" w:rsidP="00534A85">
      <w:pPr>
        <w:ind w:right="-1"/>
        <w:jc w:val="both"/>
        <w:rPr>
          <w:rFonts w:cs="Arial"/>
          <w:szCs w:val="22"/>
          <w:lang w:val="de-CH"/>
        </w:rPr>
      </w:pPr>
    </w:p>
    <w:p w14:paraId="2E5B5ECC" w14:textId="77777777" w:rsidR="00B503BA" w:rsidRPr="00F617D2" w:rsidRDefault="00B503BA" w:rsidP="00534A85">
      <w:pPr>
        <w:ind w:right="-1"/>
        <w:jc w:val="both"/>
        <w:rPr>
          <w:rFonts w:cs="Arial"/>
          <w:szCs w:val="22"/>
          <w:lang w:val="de-CH"/>
        </w:rPr>
      </w:pPr>
    </w:p>
    <w:p w14:paraId="02507747" w14:textId="4734869C" w:rsidR="00525D20" w:rsidRPr="00F617D2" w:rsidRDefault="00BE2CAD" w:rsidP="0056080A">
      <w:pPr>
        <w:spacing w:after="120"/>
        <w:ind w:right="-1"/>
        <w:jc w:val="both"/>
        <w:rPr>
          <w:rFonts w:cs="Arial"/>
          <w:b/>
          <w:sz w:val="23"/>
          <w:szCs w:val="23"/>
          <w:lang w:val="de-CH"/>
        </w:rPr>
      </w:pPr>
      <w:r w:rsidRPr="00F617D2">
        <w:rPr>
          <w:rFonts w:cs="Arial"/>
          <w:b/>
          <w:sz w:val="23"/>
          <w:szCs w:val="23"/>
          <w:lang w:val="de-CH"/>
        </w:rPr>
        <w:lastRenderedPageBreak/>
        <w:t>8</w:t>
      </w:r>
      <w:r w:rsidR="00525D20" w:rsidRPr="00F617D2">
        <w:rPr>
          <w:rFonts w:cs="Arial"/>
          <w:b/>
          <w:sz w:val="23"/>
          <w:szCs w:val="23"/>
          <w:lang w:val="de-CH"/>
        </w:rPr>
        <w:t xml:space="preserve">. Zuständigkeiten </w:t>
      </w:r>
    </w:p>
    <w:p w14:paraId="6C394A97" w14:textId="0456EC85" w:rsidR="00525D20" w:rsidRPr="00F617D2" w:rsidRDefault="00525D20" w:rsidP="00525D20">
      <w:pPr>
        <w:ind w:right="-1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 xml:space="preserve">Die </w:t>
      </w:r>
      <w:r w:rsidRPr="00F617D2">
        <w:rPr>
          <w:rFonts w:cs="Arial"/>
          <w:szCs w:val="22"/>
          <w:highlight w:val="yellow"/>
          <w:lang w:val="de-CH"/>
        </w:rPr>
        <w:t>Geschäftsleitung</w:t>
      </w:r>
      <w:r w:rsidRPr="00F617D2">
        <w:rPr>
          <w:rFonts w:cs="Arial"/>
          <w:szCs w:val="22"/>
          <w:lang w:val="de-CH"/>
        </w:rPr>
        <w:t xml:space="preserve"> beantragt dem </w:t>
      </w:r>
      <w:r w:rsidRPr="00F617D2">
        <w:rPr>
          <w:rFonts w:cs="Arial"/>
          <w:szCs w:val="22"/>
          <w:highlight w:val="yellow"/>
          <w:lang w:val="de-CH"/>
        </w:rPr>
        <w:t>Vorstand/Stiftungsrat</w:t>
      </w:r>
      <w:r w:rsidRPr="00F617D2">
        <w:rPr>
          <w:rFonts w:cs="Arial"/>
          <w:szCs w:val="22"/>
          <w:lang w:val="de-CH"/>
        </w:rPr>
        <w:t xml:space="preserve"> die Entnahme von Fondsmitteln für den zweckkonformen Einsatz gemäss Ziffer 3. </w:t>
      </w:r>
      <w:r w:rsidR="0056080A" w:rsidRPr="00F617D2">
        <w:rPr>
          <w:rFonts w:cs="Arial"/>
          <w:szCs w:val="22"/>
          <w:lang w:val="de-CH"/>
        </w:rPr>
        <w:t>Sie entscheidet über die konkreten Ausgaben</w:t>
      </w:r>
      <w:r w:rsidR="007F3731" w:rsidRPr="00F617D2">
        <w:rPr>
          <w:rFonts w:cs="Arial"/>
          <w:szCs w:val="22"/>
          <w:lang w:val="de-CH"/>
        </w:rPr>
        <w:t xml:space="preserve"> im </w:t>
      </w:r>
      <w:r w:rsidR="0056080A" w:rsidRPr="00F617D2">
        <w:rPr>
          <w:rFonts w:cs="Arial"/>
          <w:szCs w:val="22"/>
          <w:lang w:val="de-CH"/>
        </w:rPr>
        <w:t>Umfang der bewilligten Entnahme</w:t>
      </w:r>
      <w:r w:rsidR="007F3731" w:rsidRPr="00F617D2">
        <w:rPr>
          <w:rFonts w:cs="Arial"/>
          <w:szCs w:val="22"/>
          <w:lang w:val="de-CH"/>
        </w:rPr>
        <w:t>.</w:t>
      </w:r>
    </w:p>
    <w:p w14:paraId="4E67AE16" w14:textId="77777777" w:rsidR="007A5637" w:rsidRPr="00F617D2" w:rsidRDefault="007A5637" w:rsidP="00525D20">
      <w:pPr>
        <w:ind w:right="-1"/>
        <w:jc w:val="both"/>
        <w:rPr>
          <w:rFonts w:cs="Arial"/>
          <w:szCs w:val="22"/>
          <w:lang w:val="de-CH"/>
        </w:rPr>
      </w:pPr>
    </w:p>
    <w:p w14:paraId="6D39B088" w14:textId="77777777" w:rsidR="00BF50F7" w:rsidRPr="00F617D2" w:rsidRDefault="00BF50F7">
      <w:pPr>
        <w:ind w:right="-1"/>
        <w:jc w:val="both"/>
        <w:rPr>
          <w:rFonts w:cs="Arial"/>
          <w:szCs w:val="22"/>
          <w:lang w:val="de-CH"/>
        </w:rPr>
      </w:pPr>
    </w:p>
    <w:p w14:paraId="5936520F" w14:textId="77777777" w:rsidR="00F36725" w:rsidRPr="00F617D2" w:rsidRDefault="0010198A">
      <w:pPr>
        <w:ind w:right="-1"/>
        <w:jc w:val="both"/>
        <w:rPr>
          <w:rFonts w:cs="Arial"/>
          <w:b/>
          <w:sz w:val="23"/>
          <w:szCs w:val="23"/>
          <w:lang w:val="de-CH"/>
        </w:rPr>
      </w:pPr>
      <w:r w:rsidRPr="00F617D2">
        <w:rPr>
          <w:rFonts w:cs="Arial"/>
          <w:b/>
          <w:sz w:val="23"/>
          <w:szCs w:val="23"/>
          <w:lang w:val="de-CH"/>
        </w:rPr>
        <w:t>9</w:t>
      </w:r>
      <w:r w:rsidR="00F36725" w:rsidRPr="00F617D2">
        <w:rPr>
          <w:rFonts w:cs="Arial"/>
          <w:b/>
          <w:sz w:val="23"/>
          <w:szCs w:val="23"/>
          <w:lang w:val="de-CH"/>
        </w:rPr>
        <w:t>. Schlussbestimmungen</w:t>
      </w:r>
    </w:p>
    <w:p w14:paraId="13F6DEA5" w14:textId="77777777" w:rsidR="00F36725" w:rsidRPr="00F617D2" w:rsidRDefault="00F36725">
      <w:pPr>
        <w:ind w:right="-1"/>
        <w:jc w:val="both"/>
        <w:rPr>
          <w:rFonts w:cs="Arial"/>
          <w:szCs w:val="22"/>
          <w:lang w:val="de-CH"/>
        </w:rPr>
      </w:pPr>
    </w:p>
    <w:p w14:paraId="00C82794" w14:textId="6478BA2B" w:rsidR="0063309D" w:rsidRPr="00F617D2" w:rsidRDefault="00F36725">
      <w:pPr>
        <w:ind w:right="-1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 xml:space="preserve">Dieses </w:t>
      </w:r>
      <w:r w:rsidR="00EA4695" w:rsidRPr="00F617D2">
        <w:rPr>
          <w:rFonts w:cs="Arial"/>
          <w:szCs w:val="22"/>
          <w:lang w:val="de-CH"/>
        </w:rPr>
        <w:t>R</w:t>
      </w:r>
      <w:r w:rsidR="0063309D" w:rsidRPr="00F617D2">
        <w:rPr>
          <w:rFonts w:cs="Arial"/>
          <w:szCs w:val="22"/>
          <w:lang w:val="de-CH"/>
        </w:rPr>
        <w:t xml:space="preserve">eglement wurde </w:t>
      </w:r>
      <w:r w:rsidR="00605A97" w:rsidRPr="00F617D2">
        <w:rPr>
          <w:rFonts w:cs="Arial"/>
          <w:szCs w:val="22"/>
          <w:lang w:val="de-CH"/>
        </w:rPr>
        <w:t>durch den</w:t>
      </w:r>
      <w:r w:rsidR="0063309D" w:rsidRPr="00F617D2">
        <w:rPr>
          <w:rFonts w:cs="Arial"/>
          <w:szCs w:val="22"/>
          <w:lang w:val="de-CH"/>
        </w:rPr>
        <w:t xml:space="preserve"> </w:t>
      </w:r>
      <w:r w:rsidRPr="00F617D2">
        <w:rPr>
          <w:rFonts w:cs="Arial"/>
          <w:szCs w:val="22"/>
          <w:highlight w:val="yellow"/>
          <w:lang w:val="de-CH"/>
        </w:rPr>
        <w:t>Vorstand/</w:t>
      </w:r>
      <w:r w:rsidR="0063309D" w:rsidRPr="00F617D2">
        <w:rPr>
          <w:rFonts w:cs="Arial"/>
          <w:szCs w:val="22"/>
          <w:highlight w:val="yellow"/>
          <w:lang w:val="de-CH"/>
        </w:rPr>
        <w:t>Stiftungsrat</w:t>
      </w:r>
      <w:r w:rsidR="00605A97" w:rsidRPr="00F617D2">
        <w:rPr>
          <w:rFonts w:cs="Arial"/>
          <w:szCs w:val="22"/>
          <w:lang w:val="de-CH"/>
        </w:rPr>
        <w:t xml:space="preserve"> a</w:t>
      </w:r>
      <w:r w:rsidR="0063309D" w:rsidRPr="00F617D2">
        <w:rPr>
          <w:rFonts w:cs="Arial"/>
          <w:szCs w:val="22"/>
          <w:lang w:val="de-CH"/>
        </w:rPr>
        <w:t xml:space="preserve">m </w:t>
      </w:r>
      <w:proofErr w:type="spellStart"/>
      <w:proofErr w:type="gramStart"/>
      <w:r w:rsidRPr="00F617D2">
        <w:rPr>
          <w:rFonts w:cs="Arial"/>
          <w:szCs w:val="22"/>
          <w:highlight w:val="yellow"/>
          <w:lang w:val="de-CH"/>
        </w:rPr>
        <w:t>dd.mm.yyyy</w:t>
      </w:r>
      <w:proofErr w:type="spellEnd"/>
      <w:proofErr w:type="gramEnd"/>
      <w:r w:rsidR="00846207" w:rsidRPr="00F617D2">
        <w:rPr>
          <w:rFonts w:cs="Arial"/>
          <w:szCs w:val="22"/>
          <w:lang w:val="de-CH"/>
        </w:rPr>
        <w:t xml:space="preserve"> </w:t>
      </w:r>
      <w:r w:rsidRPr="00F617D2">
        <w:rPr>
          <w:rFonts w:cs="Arial"/>
          <w:szCs w:val="22"/>
          <w:lang w:val="de-CH"/>
        </w:rPr>
        <w:t xml:space="preserve">beschlossen. Es tritt </w:t>
      </w:r>
      <w:r w:rsidR="002D72F5" w:rsidRPr="00F617D2">
        <w:rPr>
          <w:rFonts w:cs="Arial"/>
          <w:szCs w:val="22"/>
          <w:lang w:val="de-CH"/>
        </w:rPr>
        <w:t xml:space="preserve">rückwirkend per </w:t>
      </w:r>
      <w:r w:rsidR="0010198A" w:rsidRPr="00F617D2">
        <w:rPr>
          <w:rFonts w:cs="Arial"/>
          <w:szCs w:val="22"/>
          <w:lang w:val="de-CH"/>
        </w:rPr>
        <w:t>1. Januar 2022 in Kraft</w:t>
      </w:r>
      <w:r w:rsidRPr="00F617D2">
        <w:rPr>
          <w:rFonts w:cs="Arial"/>
          <w:szCs w:val="22"/>
          <w:lang w:val="de-CH"/>
        </w:rPr>
        <w:t xml:space="preserve">. </w:t>
      </w:r>
    </w:p>
    <w:p w14:paraId="19A2FEC2" w14:textId="77777777" w:rsidR="002A094A" w:rsidRPr="00F617D2" w:rsidRDefault="002A094A">
      <w:pPr>
        <w:ind w:right="-1"/>
        <w:jc w:val="both"/>
        <w:rPr>
          <w:rFonts w:cs="Arial"/>
          <w:szCs w:val="22"/>
          <w:lang w:val="de-CH"/>
        </w:rPr>
      </w:pPr>
    </w:p>
    <w:p w14:paraId="1D140F7A" w14:textId="77777777" w:rsidR="002A094A" w:rsidRPr="00F617D2" w:rsidRDefault="002A094A">
      <w:pPr>
        <w:ind w:right="-1"/>
        <w:jc w:val="both"/>
        <w:rPr>
          <w:rFonts w:cs="Arial"/>
          <w:szCs w:val="22"/>
          <w:lang w:val="de-CH"/>
        </w:rPr>
      </w:pPr>
    </w:p>
    <w:p w14:paraId="25A286BD" w14:textId="77777777" w:rsidR="00613B74" w:rsidRPr="00F617D2" w:rsidRDefault="00613B74">
      <w:pPr>
        <w:ind w:right="-1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highlight w:val="yellow"/>
          <w:lang w:val="de-CH"/>
        </w:rPr>
        <w:t xml:space="preserve">Ort, </w:t>
      </w:r>
      <w:proofErr w:type="spellStart"/>
      <w:proofErr w:type="gramStart"/>
      <w:r w:rsidRPr="00F617D2">
        <w:rPr>
          <w:rFonts w:cs="Arial"/>
          <w:szCs w:val="22"/>
          <w:highlight w:val="yellow"/>
          <w:lang w:val="de-CH"/>
        </w:rPr>
        <w:t>dd.mm.yyyy</w:t>
      </w:r>
      <w:proofErr w:type="spellEnd"/>
      <w:proofErr w:type="gramEnd"/>
    </w:p>
    <w:p w14:paraId="6717C076" w14:textId="77777777" w:rsidR="00613B74" w:rsidRPr="00F617D2" w:rsidRDefault="00613B74">
      <w:pPr>
        <w:ind w:right="-1"/>
        <w:jc w:val="both"/>
        <w:rPr>
          <w:rFonts w:cs="Arial"/>
          <w:szCs w:val="22"/>
          <w:lang w:val="de-CH"/>
        </w:rPr>
      </w:pPr>
    </w:p>
    <w:p w14:paraId="153F4F1E" w14:textId="77777777" w:rsidR="002A094A" w:rsidRPr="00F617D2" w:rsidRDefault="00F36725">
      <w:pPr>
        <w:ind w:right="-1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highlight w:val="yellow"/>
          <w:lang w:val="de-CH"/>
        </w:rPr>
        <w:t>Institution XXX</w:t>
      </w:r>
      <w:r w:rsidRPr="00F617D2">
        <w:rPr>
          <w:rFonts w:cs="Arial"/>
          <w:szCs w:val="22"/>
          <w:lang w:val="de-CH"/>
        </w:rPr>
        <w:t xml:space="preserve"> </w:t>
      </w:r>
    </w:p>
    <w:p w14:paraId="38CADE68" w14:textId="77777777" w:rsidR="00F36725" w:rsidRPr="00F617D2" w:rsidRDefault="00F36725">
      <w:pPr>
        <w:ind w:right="-1"/>
        <w:jc w:val="both"/>
        <w:rPr>
          <w:rFonts w:cs="Arial"/>
          <w:szCs w:val="22"/>
          <w:lang w:val="de-CH"/>
        </w:rPr>
      </w:pPr>
    </w:p>
    <w:p w14:paraId="59C31193" w14:textId="77777777" w:rsidR="00F36725" w:rsidRPr="00F617D2" w:rsidRDefault="00F36725">
      <w:pPr>
        <w:ind w:right="-1"/>
        <w:jc w:val="both"/>
        <w:rPr>
          <w:rFonts w:cs="Arial"/>
          <w:szCs w:val="22"/>
          <w:lang w:val="de-CH"/>
        </w:rPr>
      </w:pPr>
    </w:p>
    <w:p w14:paraId="50BD939E" w14:textId="5076D8A8" w:rsidR="00136D8C" w:rsidRPr="00F617D2" w:rsidRDefault="00F36725" w:rsidP="002A094A">
      <w:pPr>
        <w:ind w:right="-1"/>
        <w:jc w:val="both"/>
        <w:rPr>
          <w:rFonts w:cs="Arial"/>
          <w:szCs w:val="22"/>
          <w:lang w:val="de-CH"/>
        </w:rPr>
      </w:pPr>
      <w:r w:rsidRPr="00F617D2">
        <w:rPr>
          <w:rFonts w:cs="Arial"/>
          <w:szCs w:val="22"/>
          <w:lang w:val="de-CH"/>
        </w:rPr>
        <w:t>Der/die Präsident/in:</w:t>
      </w:r>
      <w:r w:rsidRPr="00F617D2">
        <w:rPr>
          <w:rFonts w:cs="Arial"/>
          <w:szCs w:val="22"/>
          <w:lang w:val="de-CH"/>
        </w:rPr>
        <w:tab/>
      </w:r>
      <w:r w:rsidRPr="00F617D2">
        <w:rPr>
          <w:rFonts w:cs="Arial"/>
          <w:szCs w:val="22"/>
          <w:lang w:val="de-CH"/>
        </w:rPr>
        <w:tab/>
      </w:r>
      <w:r w:rsidRPr="00F617D2">
        <w:rPr>
          <w:rFonts w:cs="Arial"/>
          <w:szCs w:val="22"/>
          <w:lang w:val="de-CH"/>
        </w:rPr>
        <w:tab/>
      </w:r>
      <w:r w:rsidRPr="00F617D2">
        <w:rPr>
          <w:rFonts w:cs="Arial"/>
          <w:szCs w:val="22"/>
          <w:lang w:val="de-CH"/>
        </w:rPr>
        <w:tab/>
        <w:t>Der/die V</w:t>
      </w:r>
      <w:r w:rsidR="002A094A" w:rsidRPr="00F617D2">
        <w:rPr>
          <w:rFonts w:cs="Arial"/>
          <w:szCs w:val="22"/>
          <w:lang w:val="de-CH"/>
        </w:rPr>
        <w:t>izepräsident</w:t>
      </w:r>
      <w:r w:rsidRPr="00F617D2">
        <w:rPr>
          <w:rFonts w:cs="Arial"/>
          <w:szCs w:val="22"/>
          <w:lang w:val="de-CH"/>
        </w:rPr>
        <w:t>/in</w:t>
      </w:r>
      <w:r w:rsidR="002A094A" w:rsidRPr="00F617D2">
        <w:rPr>
          <w:rFonts w:cs="Arial"/>
          <w:szCs w:val="22"/>
          <w:lang w:val="de-CH"/>
        </w:rPr>
        <w:t>:</w:t>
      </w:r>
    </w:p>
    <w:p w14:paraId="4FB47835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59745B1B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5FD81132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7F1884B3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6AA7C98D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41EC103F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18381B8D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3B85C1D2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156967B7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07BC8378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660C379B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7DBE2B2B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2"/>
        <w:gridCol w:w="986"/>
        <w:gridCol w:w="3595"/>
        <w:gridCol w:w="1842"/>
        <w:gridCol w:w="1842"/>
      </w:tblGrid>
      <w:tr w:rsidR="00ED4C6B" w:rsidRPr="00F617D2" w14:paraId="56C01CB9" w14:textId="77777777" w:rsidTr="00075710">
        <w:tc>
          <w:tcPr>
            <w:tcW w:w="988" w:type="dxa"/>
          </w:tcPr>
          <w:p w14:paraId="038B061D" w14:textId="77777777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  <w:proofErr w:type="spellStart"/>
            <w:r w:rsidRPr="00F617D2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Dok</w:t>
            </w:r>
            <w:proofErr w:type="spellEnd"/>
            <w:r w:rsidRPr="00F617D2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-Nr.:</w:t>
            </w:r>
          </w:p>
        </w:tc>
        <w:tc>
          <w:tcPr>
            <w:tcW w:w="992" w:type="dxa"/>
          </w:tcPr>
          <w:p w14:paraId="077632D2" w14:textId="20628B7D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  <w:r w:rsidRPr="00F617D2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508.01.de</w:t>
            </w:r>
          </w:p>
        </w:tc>
        <w:tc>
          <w:tcPr>
            <w:tcW w:w="3711" w:type="dxa"/>
            <w:tcBorders>
              <w:top w:val="nil"/>
              <w:bottom w:val="nil"/>
              <w:right w:val="nil"/>
            </w:tcBorders>
          </w:tcPr>
          <w:p w14:paraId="5C88632D" w14:textId="77777777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77519AB9" w14:textId="77777777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10A9A232" w14:textId="77777777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</w:tr>
      <w:tr w:rsidR="00ED4C6B" w:rsidRPr="00F617D2" w14:paraId="08B88E7B" w14:textId="77777777" w:rsidTr="0007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1AC6C4" w14:textId="77777777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  <w:r w:rsidRPr="00F617D2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Datum: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4813B6" w14:textId="77777777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  <w:r w:rsidRPr="00F617D2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09.03.2022</w:t>
            </w:r>
          </w:p>
        </w:tc>
        <w:tc>
          <w:tcPr>
            <w:tcW w:w="371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9290409" w14:textId="77777777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458C9BB8" w14:textId="77777777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3E3EC280" w14:textId="77777777" w:rsidR="00ED4C6B" w:rsidRPr="00F617D2" w:rsidRDefault="00ED4C6B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</w:tr>
    </w:tbl>
    <w:p w14:paraId="2B3EC054" w14:textId="77777777" w:rsidR="00ED4C6B" w:rsidRPr="00F617D2" w:rsidRDefault="00ED4C6B" w:rsidP="00ED4C6B">
      <w:pPr>
        <w:rPr>
          <w:sz w:val="2"/>
          <w:szCs w:val="2"/>
          <w:lang w:val="de-CH"/>
        </w:rPr>
      </w:pPr>
    </w:p>
    <w:p w14:paraId="21652079" w14:textId="77777777" w:rsidR="00ED4C6B" w:rsidRPr="00F617D2" w:rsidRDefault="00ED4C6B" w:rsidP="00ED4C6B">
      <w:pPr>
        <w:rPr>
          <w:rFonts w:cs="Arial"/>
          <w:sz w:val="2"/>
          <w:szCs w:val="2"/>
          <w:lang w:val="de-CH"/>
        </w:rPr>
      </w:pPr>
    </w:p>
    <w:p w14:paraId="3F9B8026" w14:textId="77777777" w:rsidR="00ED4C6B" w:rsidRPr="00F617D2" w:rsidRDefault="00ED4C6B" w:rsidP="00ED4C6B">
      <w:pPr>
        <w:ind w:right="-1"/>
        <w:jc w:val="both"/>
        <w:rPr>
          <w:rFonts w:cs="Arial"/>
          <w:szCs w:val="22"/>
          <w:lang w:val="de-CH"/>
        </w:rPr>
      </w:pPr>
    </w:p>
    <w:p w14:paraId="05029901" w14:textId="77777777" w:rsidR="00ED4C6B" w:rsidRPr="00F617D2" w:rsidRDefault="00ED4C6B" w:rsidP="002A094A">
      <w:pPr>
        <w:ind w:right="-1"/>
        <w:jc w:val="both"/>
        <w:rPr>
          <w:rFonts w:cs="Arial"/>
          <w:szCs w:val="22"/>
          <w:lang w:val="de-CH"/>
        </w:rPr>
      </w:pPr>
    </w:p>
    <w:sectPr w:rsidR="00ED4C6B" w:rsidRPr="00F617D2" w:rsidSect="0056080A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247" w:bottom="964" w:left="1418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99F9" w14:textId="77777777" w:rsidR="00F52B53" w:rsidRDefault="00F52B53">
      <w:r>
        <w:separator/>
      </w:r>
    </w:p>
  </w:endnote>
  <w:endnote w:type="continuationSeparator" w:id="0">
    <w:p w14:paraId="49412A71" w14:textId="77777777" w:rsidR="00F52B53" w:rsidRDefault="00F5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312E" w14:textId="14A4DADD" w:rsidR="00F52B53" w:rsidRPr="006D0C2A" w:rsidRDefault="006D0C2A" w:rsidP="006D0C2A">
    <w:pPr>
      <w:pStyle w:val="Fuzeile"/>
      <w:jc w:val="center"/>
      <w:rPr>
        <w:sz w:val="16"/>
        <w:szCs w:val="16"/>
      </w:rPr>
    </w:pPr>
    <w:sdt>
      <w:sdtPr>
        <w:rPr>
          <w:sz w:val="16"/>
          <w:szCs w:val="16"/>
        </w:rPr>
        <w:id w:val="201522630"/>
        <w:docPartObj>
          <w:docPartGallery w:val="Page Numbers (Top of Page)"/>
          <w:docPartUnique/>
        </w:docPartObj>
      </w:sdtPr>
      <w:sdtContent>
        <w:r w:rsidRPr="0013313E">
          <w:rPr>
            <w:sz w:val="16"/>
            <w:szCs w:val="16"/>
          </w:rPr>
          <w:fldChar w:fldCharType="begin"/>
        </w:r>
        <w:r w:rsidRPr="0013313E">
          <w:rPr>
            <w:sz w:val="16"/>
            <w:szCs w:val="16"/>
          </w:rPr>
          <w:instrText xml:space="preserve"> PAGE </w:instrText>
        </w:r>
        <w:r w:rsidRPr="0013313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10</w:t>
        </w:r>
        <w:r w:rsidRPr="0013313E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/ </w:t>
        </w:r>
        <w:r w:rsidRPr="0013313E">
          <w:rPr>
            <w:sz w:val="16"/>
            <w:szCs w:val="16"/>
          </w:rPr>
          <w:fldChar w:fldCharType="begin"/>
        </w:r>
        <w:r w:rsidRPr="0013313E">
          <w:rPr>
            <w:sz w:val="16"/>
            <w:szCs w:val="16"/>
          </w:rPr>
          <w:instrText xml:space="preserve"> NUMPAGES  </w:instrText>
        </w:r>
        <w:r w:rsidRPr="0013313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10</w:t>
        </w:r>
        <w:r w:rsidRPr="0013313E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D15E" w14:textId="1FC91147" w:rsidR="006D0C2A" w:rsidRPr="006D0C2A" w:rsidRDefault="006D0C2A" w:rsidP="006D0C2A">
    <w:pPr>
      <w:pStyle w:val="Fuzeile"/>
      <w:jc w:val="center"/>
      <w:rPr>
        <w:sz w:val="16"/>
        <w:szCs w:val="16"/>
      </w:rPr>
    </w:pPr>
    <w:sdt>
      <w:sdtPr>
        <w:rPr>
          <w:sz w:val="16"/>
          <w:szCs w:val="16"/>
        </w:rPr>
        <w:id w:val="1751377663"/>
        <w:docPartObj>
          <w:docPartGallery w:val="Page Numbers (Top of Page)"/>
          <w:docPartUnique/>
        </w:docPartObj>
      </w:sdtPr>
      <w:sdtContent>
        <w:r w:rsidRPr="0013313E">
          <w:rPr>
            <w:sz w:val="16"/>
            <w:szCs w:val="16"/>
          </w:rPr>
          <w:fldChar w:fldCharType="begin"/>
        </w:r>
        <w:r w:rsidRPr="0013313E">
          <w:rPr>
            <w:sz w:val="16"/>
            <w:szCs w:val="16"/>
          </w:rPr>
          <w:instrText xml:space="preserve"> PAGE </w:instrText>
        </w:r>
        <w:r w:rsidRPr="0013313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13313E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/ </w:t>
        </w:r>
        <w:r w:rsidRPr="0013313E">
          <w:rPr>
            <w:sz w:val="16"/>
            <w:szCs w:val="16"/>
          </w:rPr>
          <w:fldChar w:fldCharType="begin"/>
        </w:r>
        <w:r w:rsidRPr="0013313E">
          <w:rPr>
            <w:sz w:val="16"/>
            <w:szCs w:val="16"/>
          </w:rPr>
          <w:instrText xml:space="preserve"> NUMPAGES  </w:instrText>
        </w:r>
        <w:r w:rsidRPr="0013313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 w:rsidRPr="0013313E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30F0" w14:textId="77777777" w:rsidR="00F52B53" w:rsidRDefault="00F52B53">
      <w:r>
        <w:separator/>
      </w:r>
    </w:p>
  </w:footnote>
  <w:footnote w:type="continuationSeparator" w:id="0">
    <w:p w14:paraId="75A121F4" w14:textId="77777777" w:rsidR="00F52B53" w:rsidRDefault="00F52B53">
      <w:r>
        <w:continuationSeparator/>
      </w:r>
    </w:p>
  </w:footnote>
  <w:footnote w:id="1">
    <w:p w14:paraId="49B3AB90" w14:textId="7718057B" w:rsidR="00F52B53" w:rsidRPr="006D0C2A" w:rsidRDefault="00F52B53" w:rsidP="006D0C2A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  <w:r w:rsidRPr="006D0C2A">
        <w:rPr>
          <w:rStyle w:val="Funotenzeichen"/>
          <w:sz w:val="16"/>
          <w:szCs w:val="16"/>
        </w:rPr>
        <w:footnoteRef/>
      </w:r>
      <w:r w:rsidRPr="006D0C2A">
        <w:rPr>
          <w:sz w:val="16"/>
          <w:szCs w:val="16"/>
        </w:rPr>
        <w:t xml:space="preserve"> </w:t>
      </w:r>
      <w:r w:rsidR="006D0C2A">
        <w:rPr>
          <w:sz w:val="16"/>
          <w:szCs w:val="16"/>
        </w:rPr>
        <w:tab/>
      </w:r>
      <w:r w:rsidRPr="006D0C2A">
        <w:rPr>
          <w:sz w:val="16"/>
          <w:szCs w:val="16"/>
        </w:rPr>
        <w:t>Anhang 2 zur Leistungsvereinbarung</w:t>
      </w:r>
    </w:p>
  </w:footnote>
  <w:footnote w:id="2">
    <w:p w14:paraId="4054843F" w14:textId="6F974102" w:rsidR="00F52B53" w:rsidRPr="006D0C2A" w:rsidRDefault="00F52B53" w:rsidP="006D0C2A">
      <w:pPr>
        <w:pStyle w:val="Funotentext"/>
        <w:tabs>
          <w:tab w:val="left" w:pos="284"/>
        </w:tabs>
        <w:ind w:left="284" w:hanging="284"/>
        <w:rPr>
          <w:sz w:val="16"/>
          <w:szCs w:val="16"/>
          <w:lang w:val="de-CH"/>
        </w:rPr>
      </w:pPr>
      <w:r w:rsidRPr="006D0C2A">
        <w:rPr>
          <w:rStyle w:val="Funotenzeichen"/>
          <w:sz w:val="16"/>
          <w:szCs w:val="16"/>
        </w:rPr>
        <w:footnoteRef/>
      </w:r>
      <w:r w:rsidRPr="006D0C2A">
        <w:rPr>
          <w:sz w:val="16"/>
          <w:szCs w:val="16"/>
        </w:rPr>
        <w:t xml:space="preserve"> </w:t>
      </w:r>
      <w:r w:rsidR="006D0C2A">
        <w:rPr>
          <w:sz w:val="16"/>
          <w:szCs w:val="16"/>
        </w:rPr>
        <w:tab/>
      </w:r>
      <w:r w:rsidRPr="006D0C2A">
        <w:rPr>
          <w:sz w:val="16"/>
          <w:szCs w:val="16"/>
        </w:rPr>
        <w:t>In Sonderschulheimen finanziert das kantonale Jugendamt die Kosten der gemeinsam von Schule und Heim genutzten Räume. Entsprechend wird die Pauschale des AKVB für im Heim wohnende Kinder um diesen Teil reduziert.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4E8C" w14:textId="1F10A593" w:rsidR="00F52B53" w:rsidRDefault="00F52B53">
    <w:pPr>
      <w:pStyle w:val="Kopfzeile"/>
    </w:pPr>
    <w:r w:rsidRPr="0056080A">
      <w:rPr>
        <w:rFonts w:cs="Arial"/>
        <w:b/>
        <w:sz w:val="24"/>
        <w:szCs w:val="24"/>
        <w:highlight w:val="yellow"/>
      </w:rPr>
      <w:t>LOGO der Institution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A055B"/>
    <w:multiLevelType w:val="hybridMultilevel"/>
    <w:tmpl w:val="42F64324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2DD1"/>
    <w:multiLevelType w:val="hybridMultilevel"/>
    <w:tmpl w:val="D974D5E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90973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899193C"/>
    <w:multiLevelType w:val="hybridMultilevel"/>
    <w:tmpl w:val="B6C4FB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F87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10CD40D6"/>
    <w:multiLevelType w:val="hybridMultilevel"/>
    <w:tmpl w:val="4724C75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863FAB"/>
    <w:multiLevelType w:val="hybridMultilevel"/>
    <w:tmpl w:val="8410EB78"/>
    <w:lvl w:ilvl="0" w:tplc="0FAEDFFA">
      <w:start w:val="1"/>
      <w:numFmt w:val="bullet"/>
      <w:lvlText w:val=""/>
      <w:lvlJc w:val="left"/>
      <w:pPr>
        <w:tabs>
          <w:tab w:val="num" w:pos="1287"/>
        </w:tabs>
        <w:ind w:left="1287" w:hanging="9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F322E"/>
    <w:multiLevelType w:val="hybridMultilevel"/>
    <w:tmpl w:val="B1162430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13761"/>
    <w:multiLevelType w:val="hybridMultilevel"/>
    <w:tmpl w:val="7166EF24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67669"/>
    <w:multiLevelType w:val="hybridMultilevel"/>
    <w:tmpl w:val="B85423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A00C8"/>
    <w:multiLevelType w:val="hybridMultilevel"/>
    <w:tmpl w:val="333032C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4537"/>
    <w:multiLevelType w:val="hybridMultilevel"/>
    <w:tmpl w:val="12FCC3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E06E4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4" w:hanging="283"/>
      </w:pPr>
      <w:rPr>
        <w:rFonts w:ascii="Symbol" w:hAnsi="Symbol" w:hint="default"/>
      </w:rPr>
    </w:lvl>
  </w:abstractNum>
  <w:abstractNum w:abstractNumId="14" w15:restartNumberingAfterBreak="0">
    <w:nsid w:val="250B51F7"/>
    <w:multiLevelType w:val="hybridMultilevel"/>
    <w:tmpl w:val="71925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25418"/>
    <w:multiLevelType w:val="hybridMultilevel"/>
    <w:tmpl w:val="AB4AB6A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518EE"/>
    <w:multiLevelType w:val="hybridMultilevel"/>
    <w:tmpl w:val="4A10D22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349E8"/>
    <w:multiLevelType w:val="hybridMultilevel"/>
    <w:tmpl w:val="20220C12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93E7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2E2F6A73"/>
    <w:multiLevelType w:val="hybridMultilevel"/>
    <w:tmpl w:val="985C691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0E06D3"/>
    <w:multiLevelType w:val="hybridMultilevel"/>
    <w:tmpl w:val="0CAC9D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33AD8"/>
    <w:multiLevelType w:val="hybridMultilevel"/>
    <w:tmpl w:val="8410C97A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05ED6"/>
    <w:multiLevelType w:val="multilevel"/>
    <w:tmpl w:val="ECEA73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3B48E2"/>
    <w:multiLevelType w:val="hybridMultilevel"/>
    <w:tmpl w:val="B498C3A8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E72AD"/>
    <w:multiLevelType w:val="hybridMultilevel"/>
    <w:tmpl w:val="4520483A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A33E1"/>
    <w:multiLevelType w:val="hybridMultilevel"/>
    <w:tmpl w:val="039E22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E5FD0"/>
    <w:multiLevelType w:val="hybridMultilevel"/>
    <w:tmpl w:val="DD906B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751E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412D2846"/>
    <w:multiLevelType w:val="hybridMultilevel"/>
    <w:tmpl w:val="9C804408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26E2D"/>
    <w:multiLevelType w:val="hybridMultilevel"/>
    <w:tmpl w:val="099E31D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0313F"/>
    <w:multiLevelType w:val="hybridMultilevel"/>
    <w:tmpl w:val="E940F6D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95DED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2" w15:restartNumberingAfterBreak="0">
    <w:nsid w:val="49922782"/>
    <w:multiLevelType w:val="hybridMultilevel"/>
    <w:tmpl w:val="4724C75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F73366"/>
    <w:multiLevelType w:val="hybridMultilevel"/>
    <w:tmpl w:val="B70CBA00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80C23"/>
    <w:multiLevelType w:val="hybridMultilevel"/>
    <w:tmpl w:val="4724C75C"/>
    <w:lvl w:ilvl="0" w:tplc="0807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B94DD4"/>
    <w:multiLevelType w:val="hybridMultilevel"/>
    <w:tmpl w:val="FE384CEC"/>
    <w:lvl w:ilvl="0" w:tplc="5980082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537F000D"/>
    <w:multiLevelType w:val="hybridMultilevel"/>
    <w:tmpl w:val="E9A89830"/>
    <w:lvl w:ilvl="0" w:tplc="D93EA71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C86C8E"/>
    <w:multiLevelType w:val="multilevel"/>
    <w:tmpl w:val="C1BAA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6DD1977"/>
    <w:multiLevelType w:val="hybridMultilevel"/>
    <w:tmpl w:val="08889D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771F52"/>
    <w:multiLevelType w:val="hybridMultilevel"/>
    <w:tmpl w:val="8D22C7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D218A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F3701A7"/>
    <w:multiLevelType w:val="hybridMultilevel"/>
    <w:tmpl w:val="4338466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62514D"/>
    <w:multiLevelType w:val="hybridMultilevel"/>
    <w:tmpl w:val="D5FCA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B502B4"/>
    <w:multiLevelType w:val="hybridMultilevel"/>
    <w:tmpl w:val="BDF88B2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83D5D"/>
    <w:multiLevelType w:val="hybridMultilevel"/>
    <w:tmpl w:val="A5CCEE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1972A2"/>
    <w:multiLevelType w:val="multilevel"/>
    <w:tmpl w:val="EDA43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815D8E"/>
    <w:multiLevelType w:val="hybridMultilevel"/>
    <w:tmpl w:val="BC8E35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"/>
  </w:num>
  <w:num w:numId="3">
    <w:abstractNumId w:val="27"/>
  </w:num>
  <w:num w:numId="4">
    <w:abstractNumId w:val="31"/>
  </w:num>
  <w:num w:numId="5">
    <w:abstractNumId w:val="5"/>
  </w:num>
  <w:num w:numId="6">
    <w:abstractNumId w:val="44"/>
  </w:num>
  <w:num w:numId="7">
    <w:abstractNumId w:val="33"/>
  </w:num>
  <w:num w:numId="8">
    <w:abstractNumId w:val="9"/>
  </w:num>
  <w:num w:numId="9">
    <w:abstractNumId w:val="1"/>
  </w:num>
  <w:num w:numId="10">
    <w:abstractNumId w:val="8"/>
  </w:num>
  <w:num w:numId="11">
    <w:abstractNumId w:val="24"/>
  </w:num>
  <w:num w:numId="12">
    <w:abstractNumId w:val="46"/>
  </w:num>
  <w:num w:numId="13">
    <w:abstractNumId w:val="25"/>
  </w:num>
  <w:num w:numId="14">
    <w:abstractNumId w:val="10"/>
  </w:num>
  <w:num w:numId="15">
    <w:abstractNumId w:val="7"/>
  </w:num>
  <w:num w:numId="16">
    <w:abstractNumId w:val="41"/>
  </w:num>
  <w:num w:numId="17">
    <w:abstractNumId w:val="21"/>
  </w:num>
  <w:num w:numId="18">
    <w:abstractNumId w:val="2"/>
  </w:num>
  <w:num w:numId="19">
    <w:abstractNumId w:val="14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21">
    <w:abstractNumId w:val="18"/>
  </w:num>
  <w:num w:numId="22">
    <w:abstractNumId w:val="13"/>
  </w:num>
  <w:num w:numId="23">
    <w:abstractNumId w:val="43"/>
  </w:num>
  <w:num w:numId="24">
    <w:abstractNumId w:val="29"/>
  </w:num>
  <w:num w:numId="25">
    <w:abstractNumId w:val="11"/>
  </w:num>
  <w:num w:numId="26">
    <w:abstractNumId w:val="16"/>
  </w:num>
  <w:num w:numId="27">
    <w:abstractNumId w:val="28"/>
  </w:num>
  <w:num w:numId="28">
    <w:abstractNumId w:val="17"/>
  </w:num>
  <w:num w:numId="29">
    <w:abstractNumId w:val="30"/>
  </w:num>
  <w:num w:numId="30">
    <w:abstractNumId w:val="15"/>
  </w:num>
  <w:num w:numId="31">
    <w:abstractNumId w:val="23"/>
  </w:num>
  <w:num w:numId="32">
    <w:abstractNumId w:val="12"/>
  </w:num>
  <w:num w:numId="33">
    <w:abstractNumId w:val="26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>
    <w:abstractNumId w:val="38"/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7">
    <w:abstractNumId w:val="42"/>
  </w:num>
  <w:num w:numId="38">
    <w:abstractNumId w:val="20"/>
  </w:num>
  <w:num w:numId="39">
    <w:abstractNumId w:val="4"/>
  </w:num>
  <w:num w:numId="40">
    <w:abstractNumId w:val="39"/>
  </w:num>
  <w:num w:numId="41">
    <w:abstractNumId w:val="19"/>
  </w:num>
  <w:num w:numId="42">
    <w:abstractNumId w:val="36"/>
  </w:num>
  <w:num w:numId="43">
    <w:abstractNumId w:val="22"/>
  </w:num>
  <w:num w:numId="44">
    <w:abstractNumId w:val="6"/>
  </w:num>
  <w:num w:numId="45">
    <w:abstractNumId w:val="32"/>
  </w:num>
  <w:num w:numId="46">
    <w:abstractNumId w:val="34"/>
  </w:num>
  <w:num w:numId="47">
    <w:abstractNumId w:val="35"/>
  </w:num>
  <w:num w:numId="48">
    <w:abstractNumId w:val="45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FB"/>
    <w:rsid w:val="00026E0D"/>
    <w:rsid w:val="00030110"/>
    <w:rsid w:val="00034830"/>
    <w:rsid w:val="00040E13"/>
    <w:rsid w:val="00063EE9"/>
    <w:rsid w:val="000930CC"/>
    <w:rsid w:val="000A19D1"/>
    <w:rsid w:val="000E7317"/>
    <w:rsid w:val="000F4D12"/>
    <w:rsid w:val="00100E58"/>
    <w:rsid w:val="0010198A"/>
    <w:rsid w:val="00102B22"/>
    <w:rsid w:val="001036AD"/>
    <w:rsid w:val="00136D8C"/>
    <w:rsid w:val="0014033B"/>
    <w:rsid w:val="0014163E"/>
    <w:rsid w:val="00196946"/>
    <w:rsid w:val="001B7776"/>
    <w:rsid w:val="00226F89"/>
    <w:rsid w:val="00231CB7"/>
    <w:rsid w:val="002417E7"/>
    <w:rsid w:val="00252133"/>
    <w:rsid w:val="00257747"/>
    <w:rsid w:val="00264828"/>
    <w:rsid w:val="00265049"/>
    <w:rsid w:val="00274D90"/>
    <w:rsid w:val="00275C12"/>
    <w:rsid w:val="00291157"/>
    <w:rsid w:val="0029718F"/>
    <w:rsid w:val="002A094A"/>
    <w:rsid w:val="002C219F"/>
    <w:rsid w:val="002D72F5"/>
    <w:rsid w:val="002E2C0F"/>
    <w:rsid w:val="002F3092"/>
    <w:rsid w:val="00303ABD"/>
    <w:rsid w:val="003151A5"/>
    <w:rsid w:val="00321AC6"/>
    <w:rsid w:val="00321C05"/>
    <w:rsid w:val="0032524A"/>
    <w:rsid w:val="0037784E"/>
    <w:rsid w:val="003977F5"/>
    <w:rsid w:val="003F75F4"/>
    <w:rsid w:val="00421D6B"/>
    <w:rsid w:val="00422AB8"/>
    <w:rsid w:val="00436CBC"/>
    <w:rsid w:val="0044726D"/>
    <w:rsid w:val="004923F0"/>
    <w:rsid w:val="004D43EA"/>
    <w:rsid w:val="005035EA"/>
    <w:rsid w:val="00511B3A"/>
    <w:rsid w:val="00522D3D"/>
    <w:rsid w:val="00525D20"/>
    <w:rsid w:val="00534A85"/>
    <w:rsid w:val="005423ED"/>
    <w:rsid w:val="0054638E"/>
    <w:rsid w:val="0056080A"/>
    <w:rsid w:val="005C61D5"/>
    <w:rsid w:val="005C6DBC"/>
    <w:rsid w:val="005D0F54"/>
    <w:rsid w:val="00605A97"/>
    <w:rsid w:val="00613B74"/>
    <w:rsid w:val="0063309D"/>
    <w:rsid w:val="00636FEA"/>
    <w:rsid w:val="00637727"/>
    <w:rsid w:val="00647C76"/>
    <w:rsid w:val="006A31DA"/>
    <w:rsid w:val="006A59BC"/>
    <w:rsid w:val="006C4F29"/>
    <w:rsid w:val="006C5C1B"/>
    <w:rsid w:val="006D0C2A"/>
    <w:rsid w:val="006E2329"/>
    <w:rsid w:val="006F2710"/>
    <w:rsid w:val="00740ED9"/>
    <w:rsid w:val="00746124"/>
    <w:rsid w:val="00761828"/>
    <w:rsid w:val="007854DE"/>
    <w:rsid w:val="00791CA5"/>
    <w:rsid w:val="00793B51"/>
    <w:rsid w:val="007A5637"/>
    <w:rsid w:val="007B3C71"/>
    <w:rsid w:val="007E5FDF"/>
    <w:rsid w:val="007F3731"/>
    <w:rsid w:val="00823521"/>
    <w:rsid w:val="008259D9"/>
    <w:rsid w:val="00846207"/>
    <w:rsid w:val="00864E92"/>
    <w:rsid w:val="0088258B"/>
    <w:rsid w:val="00886DA9"/>
    <w:rsid w:val="00891378"/>
    <w:rsid w:val="00892163"/>
    <w:rsid w:val="008C20A0"/>
    <w:rsid w:val="008F3A32"/>
    <w:rsid w:val="00930223"/>
    <w:rsid w:val="0099460C"/>
    <w:rsid w:val="009A509A"/>
    <w:rsid w:val="009B10FB"/>
    <w:rsid w:val="009B1A75"/>
    <w:rsid w:val="009C7005"/>
    <w:rsid w:val="009D7CCB"/>
    <w:rsid w:val="00A026C3"/>
    <w:rsid w:val="00A13474"/>
    <w:rsid w:val="00A43519"/>
    <w:rsid w:val="00A60BC3"/>
    <w:rsid w:val="00AA0E6A"/>
    <w:rsid w:val="00AC7D62"/>
    <w:rsid w:val="00AD55EF"/>
    <w:rsid w:val="00B149F1"/>
    <w:rsid w:val="00B225FA"/>
    <w:rsid w:val="00B26F1F"/>
    <w:rsid w:val="00B503BA"/>
    <w:rsid w:val="00B90204"/>
    <w:rsid w:val="00BC7152"/>
    <w:rsid w:val="00BD13E8"/>
    <w:rsid w:val="00BD1692"/>
    <w:rsid w:val="00BE2CAD"/>
    <w:rsid w:val="00BF50F7"/>
    <w:rsid w:val="00C0176A"/>
    <w:rsid w:val="00C20EEC"/>
    <w:rsid w:val="00C31FB2"/>
    <w:rsid w:val="00C461E9"/>
    <w:rsid w:val="00C645AE"/>
    <w:rsid w:val="00C8313A"/>
    <w:rsid w:val="00C90FA8"/>
    <w:rsid w:val="00CA2944"/>
    <w:rsid w:val="00CE2A19"/>
    <w:rsid w:val="00D34305"/>
    <w:rsid w:val="00D44104"/>
    <w:rsid w:val="00D529DE"/>
    <w:rsid w:val="00DB6F49"/>
    <w:rsid w:val="00DF6E16"/>
    <w:rsid w:val="00E05C58"/>
    <w:rsid w:val="00E14FEE"/>
    <w:rsid w:val="00E27D2A"/>
    <w:rsid w:val="00E41F24"/>
    <w:rsid w:val="00E544EA"/>
    <w:rsid w:val="00E923F0"/>
    <w:rsid w:val="00E94951"/>
    <w:rsid w:val="00EA4695"/>
    <w:rsid w:val="00EB430E"/>
    <w:rsid w:val="00EB7A0C"/>
    <w:rsid w:val="00ED4C6B"/>
    <w:rsid w:val="00EE4852"/>
    <w:rsid w:val="00EF5BD6"/>
    <w:rsid w:val="00EF5BDD"/>
    <w:rsid w:val="00F25DC1"/>
    <w:rsid w:val="00F36725"/>
    <w:rsid w:val="00F52B53"/>
    <w:rsid w:val="00F52C34"/>
    <w:rsid w:val="00F617D2"/>
    <w:rsid w:val="00F62A4C"/>
    <w:rsid w:val="00FA0DF8"/>
    <w:rsid w:val="00FA6B8D"/>
    <w:rsid w:val="00FD29E0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A7D1FC8"/>
  <w15:docId w15:val="{F57150CB-F177-4B6A-A5D9-70D067E5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00"/>
      <w:ind w:right="567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right="-1"/>
      <w:jc w:val="both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ind w:right="-1"/>
      <w:jc w:val="both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220"/>
      <w:ind w:left="567" w:hanging="567"/>
      <w:jc w:val="both"/>
      <w:outlineLvl w:val="3"/>
    </w:pPr>
    <w:rPr>
      <w:b/>
      <w:sz w:val="24"/>
      <w:lang w:val="de-CH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21"/>
      <w:lang w:val="de-CH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b/>
      <w:sz w:val="48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b/>
      <w:bCs/>
      <w:sz w:val="36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1418"/>
      <w:jc w:val="both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ind w:right="-1"/>
      <w:jc w:val="both"/>
    </w:pPr>
    <w:rPr>
      <w:sz w:val="24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034"/>
      </w:tabs>
      <w:ind w:left="400" w:hanging="200"/>
      <w:jc w:val="both"/>
    </w:p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034"/>
      </w:tabs>
      <w:ind w:left="200" w:hanging="200"/>
      <w:jc w:val="both"/>
    </w:pPr>
  </w:style>
  <w:style w:type="paragraph" w:styleId="Index3">
    <w:name w:val="index 3"/>
    <w:basedOn w:val="Standard"/>
    <w:next w:val="Standard"/>
    <w:autoRedefine/>
    <w:semiHidden/>
    <w:pPr>
      <w:tabs>
        <w:tab w:val="right" w:leader="dot" w:pos="4034"/>
      </w:tabs>
      <w:ind w:left="600" w:hanging="200"/>
      <w:jc w:val="both"/>
    </w:pPr>
  </w:style>
  <w:style w:type="paragraph" w:styleId="Index4">
    <w:name w:val="index 4"/>
    <w:basedOn w:val="Standard"/>
    <w:next w:val="Standard"/>
    <w:autoRedefine/>
    <w:semiHidden/>
    <w:pPr>
      <w:tabs>
        <w:tab w:val="right" w:leader="dot" w:pos="4034"/>
      </w:tabs>
      <w:ind w:left="800" w:hanging="200"/>
      <w:jc w:val="both"/>
    </w:pPr>
  </w:style>
  <w:style w:type="paragraph" w:styleId="Index5">
    <w:name w:val="index 5"/>
    <w:basedOn w:val="Standard"/>
    <w:next w:val="Standard"/>
    <w:autoRedefine/>
    <w:semiHidden/>
    <w:pPr>
      <w:tabs>
        <w:tab w:val="right" w:leader="dot" w:pos="4034"/>
      </w:tabs>
      <w:ind w:left="1000" w:hanging="200"/>
      <w:jc w:val="both"/>
    </w:pPr>
  </w:style>
  <w:style w:type="paragraph" w:styleId="Index6">
    <w:name w:val="index 6"/>
    <w:basedOn w:val="Standard"/>
    <w:next w:val="Standard"/>
    <w:autoRedefine/>
    <w:semiHidden/>
    <w:pPr>
      <w:tabs>
        <w:tab w:val="right" w:leader="dot" w:pos="4034"/>
      </w:tabs>
      <w:ind w:left="1200" w:hanging="200"/>
      <w:jc w:val="both"/>
    </w:pPr>
  </w:style>
  <w:style w:type="paragraph" w:styleId="Index7">
    <w:name w:val="index 7"/>
    <w:basedOn w:val="Standard"/>
    <w:next w:val="Standard"/>
    <w:autoRedefine/>
    <w:semiHidden/>
    <w:pPr>
      <w:tabs>
        <w:tab w:val="right" w:leader="dot" w:pos="4034"/>
      </w:tabs>
      <w:ind w:left="1400" w:hanging="200"/>
      <w:jc w:val="both"/>
    </w:pPr>
  </w:style>
  <w:style w:type="paragraph" w:styleId="Index8">
    <w:name w:val="index 8"/>
    <w:basedOn w:val="Standard"/>
    <w:next w:val="Standard"/>
    <w:autoRedefine/>
    <w:semiHidden/>
    <w:pPr>
      <w:tabs>
        <w:tab w:val="right" w:leader="dot" w:pos="4034"/>
      </w:tabs>
      <w:ind w:left="1600" w:hanging="200"/>
      <w:jc w:val="both"/>
    </w:pPr>
  </w:style>
  <w:style w:type="paragraph" w:styleId="Index9">
    <w:name w:val="index 9"/>
    <w:basedOn w:val="Standard"/>
    <w:next w:val="Standard"/>
    <w:autoRedefine/>
    <w:semiHidden/>
    <w:pPr>
      <w:tabs>
        <w:tab w:val="right" w:leader="dot" w:pos="4034"/>
      </w:tabs>
      <w:ind w:left="1800" w:hanging="200"/>
      <w:jc w:val="both"/>
    </w:pPr>
  </w:style>
  <w:style w:type="paragraph" w:styleId="Indexberschrift">
    <w:name w:val="index heading"/>
    <w:basedOn w:val="Standard"/>
    <w:next w:val="Index1"/>
    <w:semiHidden/>
    <w:pPr>
      <w:jc w:val="both"/>
    </w:p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185"/>
      </w:tabs>
      <w:spacing w:line="300" w:lineRule="exact"/>
      <w:ind w:left="198"/>
      <w:jc w:val="both"/>
    </w:pPr>
    <w:rPr>
      <w:b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9185"/>
      </w:tabs>
      <w:spacing w:before="120" w:line="300" w:lineRule="exact"/>
      <w:jc w:val="both"/>
    </w:pPr>
    <w:rPr>
      <w:b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185"/>
      </w:tabs>
      <w:ind w:left="800" w:right="1418" w:hanging="397"/>
    </w:pPr>
    <w:rPr>
      <w:noProof/>
      <w:szCs w:val="28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185"/>
      </w:tabs>
      <w:ind w:left="600"/>
    </w:pPr>
    <w:rPr>
      <w:noProof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8788"/>
      </w:tabs>
      <w:ind w:left="800"/>
      <w:jc w:val="both"/>
    </w:p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8788"/>
      </w:tabs>
      <w:ind w:left="1000"/>
      <w:jc w:val="both"/>
    </w:p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8788"/>
      </w:tabs>
      <w:ind w:left="1200"/>
      <w:jc w:val="both"/>
    </w:p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8788"/>
      </w:tabs>
      <w:ind w:left="1400"/>
      <w:jc w:val="both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8788"/>
      </w:tabs>
      <w:ind w:left="1600"/>
      <w:jc w:val="both"/>
    </w:pPr>
  </w:style>
  <w:style w:type="paragraph" w:styleId="Textkrper3">
    <w:name w:val="Body Text 3"/>
    <w:basedOn w:val="Standard"/>
    <w:pPr>
      <w:tabs>
        <w:tab w:val="left" w:pos="6804"/>
      </w:tabs>
      <w:jc w:val="both"/>
    </w:pPr>
  </w:style>
  <w:style w:type="paragraph" w:styleId="Dokumentstruktur">
    <w:name w:val="Document Map"/>
    <w:basedOn w:val="Standard"/>
    <w:semiHidden/>
    <w:pPr>
      <w:shd w:val="clear" w:color="auto" w:fill="000080"/>
      <w:jc w:val="both"/>
    </w:pPr>
    <w:rPr>
      <w:rFonts w:ascii="Tahoma" w:hAnsi="Tahoma"/>
    </w:rPr>
  </w:style>
  <w:style w:type="paragraph" w:styleId="Textkrper-Zeileneinzug">
    <w:name w:val="Body Text Indent"/>
    <w:basedOn w:val="Standard"/>
    <w:pPr>
      <w:widowControl w:val="0"/>
      <w:autoSpaceDE w:val="0"/>
      <w:autoSpaceDN w:val="0"/>
      <w:adjustRightInd w:val="0"/>
      <w:ind w:left="227" w:hanging="227"/>
      <w:jc w:val="both"/>
    </w:pPr>
    <w:rPr>
      <w:rFonts w:cs="Arial"/>
    </w:rPr>
  </w:style>
  <w:style w:type="paragraph" w:customStyle="1" w:styleId="NurText1">
    <w:name w:val="Nur Text1"/>
    <w:basedOn w:val="Standard"/>
    <w:pPr>
      <w:jc w:val="both"/>
    </w:pPr>
  </w:style>
  <w:style w:type="paragraph" w:styleId="Endnotentext">
    <w:name w:val="endnote text"/>
    <w:basedOn w:val="Standard"/>
    <w:semiHidden/>
    <w:pPr>
      <w:overflowPunct w:val="0"/>
      <w:autoSpaceDE w:val="0"/>
      <w:autoSpaceDN w:val="0"/>
      <w:adjustRightInd w:val="0"/>
      <w:ind w:right="141"/>
      <w:jc w:val="both"/>
      <w:textAlignment w:val="baseline"/>
    </w:pPr>
  </w:style>
  <w:style w:type="paragraph" w:customStyle="1" w:styleId="Text">
    <w:name w:val="Text"/>
    <w:basedOn w:val="Textkrper"/>
    <w:pPr>
      <w:ind w:right="0"/>
      <w:jc w:val="center"/>
    </w:pPr>
    <w:rPr>
      <w:noProof/>
      <w:sz w:val="20"/>
      <w:lang w:val="de-CH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5035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35E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F5BDD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544EA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544EA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E544EA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FA6B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A6B8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A6B8D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A6B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A6B8D"/>
    <w:rPr>
      <w:rFonts w:ascii="Arial" w:hAnsi="Arial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F6E16"/>
    <w:rPr>
      <w:rFonts w:ascii="Arial" w:hAnsi="Arial"/>
      <w:sz w:val="22"/>
      <w:lang w:val="de-DE" w:eastAsia="de-DE"/>
    </w:rPr>
  </w:style>
  <w:style w:type="paragraph" w:customStyle="1" w:styleId="Default">
    <w:name w:val="Default"/>
    <w:rsid w:val="00C20E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ED4C6B"/>
    <w:rPr>
      <w:rFonts w:ascii="Trebuchet MS" w:eastAsiaTheme="minorHAnsi" w:hAnsi="Trebuchet MS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D0C2A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FDB2-0878-4900-B752-D1258E8A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Briefformular</vt:lpstr>
    </vt:vector>
  </TitlesOfParts>
  <Company/>
  <LinksUpToDate>false</LinksUpToDate>
  <CharactersWithSpaces>5270</CharactersWithSpaces>
  <SharedDoc>false</SharedDoc>
  <HLinks>
    <vt:vector size="42" baseType="variant"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_Toc242673978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_Toc242673977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_Toc242673976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_Toc242673975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_Toc242673974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_Toc242673973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_Toc242673972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 Reglement Fonds Infrastruktur BVSA BKD</dc:title>
  <dc:subject>Mustervorlage Reglement Fonds Infrastruktur BVSA BKD</dc:subject>
  <dc:creator>SOCIALBERN</dc:creator>
  <cp:lastModifiedBy>Rolf Birchler</cp:lastModifiedBy>
  <cp:revision>2</cp:revision>
  <cp:lastPrinted>2022-03-09T07:54:00Z</cp:lastPrinted>
  <dcterms:created xsi:type="dcterms:W3CDTF">2022-03-09T09:50:00Z</dcterms:created>
  <dcterms:modified xsi:type="dcterms:W3CDTF">2022-03-09T09:50:00Z</dcterms:modified>
</cp:coreProperties>
</file>